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ПРАКТИЧЕСКИЕ РЕКОМЕНДАЦИИ НАСЕЛЕНИЮ ПО ИСПОЛЬЗОВАНИЮ ЗАГЛУБЛЕННЫХ И ДРУГИХ ПОМЕЩЕНИЙ ПОДЗЕМНОГО ПРОСТРАНСТВА</w:t>
      </w:r>
    </w:p>
    <w:p w14:paraId="02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32"/>
        </w:rPr>
      </w:pPr>
    </w:p>
    <w:p w14:paraId="0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При нахождении на улице:</w:t>
      </w:r>
    </w:p>
    <w:tbl>
      <w:tblPr>
        <w:tblStyle w:val="Style_1"/>
        <w:tblInd w:type="dxa" w:w="-1026"/>
        <w:tblLayout w:type="fixed"/>
      </w:tblPr>
      <w:tblGrid>
        <w:gridCol w:w="5956"/>
        <w:gridCol w:w="4425"/>
      </w:tblGrid>
      <w:tr>
        <w:tc>
          <w:tcPr>
            <w:tcW w:type="dxa" w:w="5956"/>
          </w:tcPr>
          <w:p w14:paraId="04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65266" cy="2066925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65266" cy="2066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425"/>
          </w:tcPr>
          <w:p w14:paraId="05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14:paraId="06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>
        <w:tc>
          <w:tcPr>
            <w:tcW w:type="dxa" w:w="5956"/>
          </w:tcPr>
          <w:p w14:paraId="07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65550" cy="2076450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16170" l="0" r="0" t="0"/>
                          <a:stretch/>
                        </pic:blipFill>
                        <pic:spPr>
                          <a:xfrm flipH="false" flipV="false" rot="0">
                            <a:ext cx="3765550" cy="2076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425"/>
          </w:tcPr>
          <w:p w14:paraId="08000000">
            <w:pPr>
              <w:ind w:firstLine="317" w:left="0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Действовать по указанию представителей органов государственной власти.</w:t>
            </w:r>
          </w:p>
          <w:p w14:paraId="09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</w:p>
          <w:p w14:paraId="0A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Соблюдать спокойствие и порядок.</w:t>
            </w:r>
          </w:p>
          <w:p w14:paraId="0B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</w:p>
          <w:p w14:paraId="0C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Проследовать в ближайшее укрытие.</w:t>
            </w:r>
          </w:p>
        </w:tc>
      </w:tr>
      <w:tr>
        <w:tc>
          <w:tcPr>
            <w:tcW w:type="dxa" w:w="5956"/>
          </w:tcPr>
          <w:p w14:paraId="0D000000">
            <w:pPr>
              <w:ind/>
              <w:jc w:val="both"/>
              <w:rPr>
                <w:rFonts w:ascii="Times New Roman" w:hAnsi="Times New Roman"/>
                <w:sz w:val="32"/>
              </w:rPr>
            </w:pPr>
          </w:p>
        </w:tc>
        <w:tc>
          <w:tcPr>
            <w:tcW w:type="dxa" w:w="4425"/>
          </w:tcPr>
          <w:p w14:paraId="0E000000">
            <w:pPr>
              <w:ind w:firstLine="317" w:left="0"/>
              <w:jc w:val="both"/>
              <w:rPr>
                <w:rFonts w:ascii="Times New Roman" w:hAnsi="Times New Roman"/>
                <w:sz w:val="32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32"/>
          <w:u w:val="single"/>
        </w:rPr>
      </w:pPr>
    </w:p>
    <w:p w14:paraId="10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32"/>
        </w:rPr>
      </w:pPr>
    </w:p>
    <w:p w14:paraId="11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При нахождении в квартире дома:</w:t>
      </w:r>
    </w:p>
    <w:tbl>
      <w:tblPr>
        <w:tblStyle w:val="Style_1"/>
        <w:tblInd w:type="dxa" w:w="-1026"/>
        <w:tblLayout w:type="fixed"/>
      </w:tblPr>
      <w:tblGrid>
        <w:gridCol w:w="6096"/>
        <w:gridCol w:w="5103"/>
      </w:tblGrid>
      <w:tr>
        <w:tc>
          <w:tcPr>
            <w:tcW w:type="dxa" w:w="6096"/>
          </w:tcPr>
          <w:p w14:paraId="12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65550" cy="2314575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65550" cy="2314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3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>«Внимание всем!»</w:t>
            </w:r>
          </w:p>
        </w:tc>
      </w:tr>
      <w:tr>
        <w:tc>
          <w:tcPr>
            <w:tcW w:type="dxa" w:w="6096"/>
          </w:tcPr>
          <w:p w14:paraId="14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1847850" cy="201930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47850" cy="2019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</w:rPr>
              <w:drawing>
                <wp:inline>
                  <wp:extent cx="1809750" cy="2019300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09750" cy="2019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5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>
              <w:rPr>
                <w:rFonts w:ascii="Times New Roman" w:hAnsi="Times New Roman"/>
                <w:b w:val="1"/>
                <w:sz w:val="32"/>
              </w:rPr>
              <w:t>сообщение</w:t>
            </w:r>
            <w:r>
              <w:rPr>
                <w:rFonts w:ascii="Times New Roman" w:hAnsi="Times New Roman"/>
                <w:sz w:val="32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>
        <w:trPr>
          <w:trHeight w:hRule="atLeast" w:val="2402"/>
        </w:trPr>
        <w:tc>
          <w:tcPr>
            <w:tcW w:type="dxa" w:w="6096"/>
          </w:tcPr>
          <w:p w14:paraId="16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33800" cy="2105025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33800" cy="21050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7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того</w:t>
            </w:r>
            <w:r>
              <w:rPr>
                <w:rFonts w:ascii="Times New Roman" w:hAnsi="Times New Roman"/>
                <w:color w:val="000000"/>
                <w:sz w:val="32"/>
              </w:rPr>
              <w:t>,</w:t>
            </w:r>
            <w:r>
              <w:rPr>
                <w:rFonts w:ascii="Times New Roman" w:hAnsi="Times New Roman"/>
                <w:color w:val="000000"/>
                <w:sz w:val="32"/>
              </w:rPr>
              <w:t xml:space="preserve"> чтобы исключить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      </w:r>
          </w:p>
        </w:tc>
      </w:tr>
      <w:tr>
        <w:tc>
          <w:tcPr>
            <w:tcW w:type="dxa" w:w="6096"/>
          </w:tcPr>
          <w:p w14:paraId="18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46404" cy="2809875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46404" cy="2809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9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того чтобы исключить возможность возникновения пожара.</w:t>
            </w:r>
          </w:p>
          <w:p w14:paraId="1A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Необходимо отключить электричество.</w:t>
            </w:r>
          </w:p>
          <w:p w14:paraId="1B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>
        <w:tc>
          <w:tcPr>
            <w:tcW w:type="dxa" w:w="6096"/>
          </w:tcPr>
          <w:p w14:paraId="1C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52850" cy="2085975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52850" cy="2085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D000000">
            <w:pPr>
              <w:ind w:firstLine="317" w:left="0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  <w:r>
              <w:rPr>
                <w:rFonts w:ascii="Times New Roman" w:hAnsi="Times New Roman"/>
                <w:color w:val="000000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32"/>
              </w:rPr>
              <w:t>Краны горячей и холодной воды обычно находятся в туалете, но могут быть в ванной комнате, или в прихожей.</w:t>
            </w:r>
          </w:p>
        </w:tc>
      </w:tr>
      <w:tr>
        <w:tc>
          <w:tcPr>
            <w:tcW w:type="dxa" w:w="6096"/>
          </w:tcPr>
          <w:p w14:paraId="1E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71900" cy="2343150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71900" cy="23431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1F000000">
            <w:pPr>
              <w:ind w:firstLine="175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того чтобы исключить попадания влаги и пыли с улицы необходимо закрыть окна и форточки.</w:t>
            </w:r>
          </w:p>
          <w:p w14:paraId="20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21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22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23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24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25000000">
            <w:pPr>
              <w:rPr>
                <w:rFonts w:ascii="Times New Roman" w:hAnsi="Times New Roman"/>
                <w:color w:val="000000"/>
                <w:sz w:val="32"/>
              </w:rPr>
            </w:pPr>
          </w:p>
        </w:tc>
      </w:tr>
      <w:tr>
        <w:tc>
          <w:tcPr>
            <w:tcW w:type="dxa" w:w="6096"/>
          </w:tcPr>
          <w:p w14:paraId="26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90950" cy="234315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90950" cy="23431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27000000">
            <w:pPr>
              <w:ind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Для сохранения продуктов питания примите меры по их защите.</w:t>
            </w:r>
          </w:p>
          <w:p w14:paraId="28000000">
            <w:pPr>
              <w:ind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14:paraId="29000000">
            <w:pPr>
              <w:ind/>
              <w:jc w:val="both"/>
              <w:rPr>
                <w:rFonts w:ascii="Times New Roman" w:hAnsi="Times New Roman"/>
                <w:color w:val="000000"/>
                <w:sz w:val="32"/>
              </w:rPr>
            </w:pPr>
          </w:p>
          <w:p w14:paraId="2A000000">
            <w:pPr>
              <w:ind/>
              <w:jc w:val="both"/>
              <w:rPr>
                <w:rFonts w:ascii="Times New Roman" w:hAnsi="Times New Roman"/>
                <w:color w:val="000000"/>
                <w:sz w:val="32"/>
              </w:rPr>
            </w:pPr>
          </w:p>
          <w:p w14:paraId="2B000000">
            <w:pPr>
              <w:ind/>
              <w:jc w:val="both"/>
              <w:rPr>
                <w:rFonts w:ascii="Times New Roman" w:hAnsi="Times New Roman"/>
                <w:color w:val="000000"/>
                <w:sz w:val="32"/>
              </w:rPr>
            </w:pPr>
          </w:p>
        </w:tc>
      </w:tr>
      <w:tr>
        <w:tc>
          <w:tcPr>
            <w:tcW w:type="dxa" w:w="6096"/>
          </w:tcPr>
          <w:p w14:paraId="2C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67717" cy="3400425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67717" cy="3400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2D000000">
            <w:pPr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Одеть детей.</w:t>
            </w:r>
          </w:p>
          <w:p w14:paraId="2E000000">
            <w:pPr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Закрыть квартиру.</w:t>
            </w:r>
          </w:p>
          <w:p w14:paraId="2F000000">
            <w:pPr>
              <w:rPr>
                <w:rFonts w:ascii="Times New Roman" w:hAnsi="Times New Roman"/>
                <w:color w:val="000000"/>
                <w:sz w:val="32"/>
              </w:rPr>
            </w:pPr>
          </w:p>
          <w:p w14:paraId="30000000">
            <w:pPr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Оставьте на двери (прикрепите скотчем или другим способом) записку, в которой будет указано:</w:t>
            </w:r>
          </w:p>
          <w:p w14:paraId="31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дата и время, когда Вы вышли из помещения;</w:t>
            </w:r>
          </w:p>
          <w:p w14:paraId="32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список людей (фамилия, имя, отчество);</w:t>
            </w:r>
          </w:p>
          <w:p w14:paraId="33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адрес укрытия, куда Вы направились (например, в подвал дома);</w:t>
            </w:r>
          </w:p>
          <w:p w14:paraId="34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номера телефонов для связи с Вами.</w:t>
            </w:r>
          </w:p>
        </w:tc>
      </w:tr>
      <w:tr>
        <w:tc>
          <w:tcPr>
            <w:tcW w:type="dxa" w:w="6096"/>
          </w:tcPr>
          <w:p w14:paraId="35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87140" cy="1788766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87140" cy="178876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36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Взять тревожный набор и другие необходимые принадлежности.</w:t>
            </w:r>
          </w:p>
          <w:p w14:paraId="37000000">
            <w:pPr>
              <w:ind w:firstLine="317" w:left="0"/>
              <w:jc w:val="both"/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>
        <w:tc>
          <w:tcPr>
            <w:tcW w:type="dxa" w:w="6096"/>
          </w:tcPr>
          <w:p w14:paraId="38000000">
            <w:pPr>
              <w:ind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drawing>
                <wp:inline>
                  <wp:extent cx="3787140" cy="1646398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16170" l="0" r="0" t="0"/>
                          <a:stretch/>
                        </pic:blipFill>
                        <pic:spPr>
                          <a:xfrm flipH="false" flipV="false" rot="0">
                            <a:ext cx="3787140" cy="16463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3"/>
          </w:tcPr>
          <w:p w14:paraId="39000000">
            <w:pPr>
              <w:ind w:firstLine="317" w:left="0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По пути к укрытию и при входе в него надо соблюдать строгий порядок:</w:t>
            </w:r>
          </w:p>
          <w:p w14:paraId="3A000000">
            <w:pPr>
              <w:ind w:firstLine="317" w:left="0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не толпиться;</w:t>
            </w:r>
          </w:p>
          <w:p w14:paraId="3B000000">
            <w:pPr>
              <w:ind w:firstLine="317" w:left="0"/>
              <w:jc w:val="both"/>
              <w:rPr>
                <w:rFonts w:ascii="Arial" w:hAnsi="Arial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не обгонять впереди </w:t>
            </w:r>
            <w:r>
              <w:rPr>
                <w:rFonts w:ascii="Times New Roman" w:hAnsi="Times New Roman"/>
                <w:sz w:val="32"/>
              </w:rPr>
              <w:t>идущих</w:t>
            </w:r>
            <w:r>
              <w:rPr>
                <w:rFonts w:ascii="Times New Roman" w:hAnsi="Times New Roman"/>
                <w:sz w:val="32"/>
              </w:rPr>
              <w:t>.</w:t>
            </w:r>
          </w:p>
        </w:tc>
      </w:tr>
    </w:tbl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olor w:val="0000CD"/>
          <w:sz w:val="28"/>
        </w:rPr>
      </w:pPr>
    </w:p>
    <w:p w14:paraId="3D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3E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3F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0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1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2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3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4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5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6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7000000">
      <w:pPr>
        <w:spacing w:after="0" w:line="240" w:lineRule="auto"/>
        <w:ind/>
        <w:rPr>
          <w:rFonts w:ascii="Times New Roman" w:hAnsi="Times New Roman"/>
          <w:i w:val="1"/>
          <w:sz w:val="28"/>
        </w:rPr>
      </w:pPr>
    </w:p>
    <w:p w14:paraId="48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9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A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B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C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D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E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4F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0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1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2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3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4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5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56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 заполнения заглубленных и других помещений подземного пространства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Войдя в помещение, следует без суеты занять свободное место.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пребывания (поведения) укрываемых в заглубленных и других помещен</w:t>
      </w:r>
      <w:r>
        <w:rPr>
          <w:rFonts w:ascii="Times New Roman" w:hAnsi="Times New Roman"/>
          <w:b w:val="1"/>
          <w:sz w:val="28"/>
        </w:rPr>
        <w:t>иях</w:t>
      </w:r>
      <w:r>
        <w:rPr>
          <w:rFonts w:ascii="Times New Roman" w:hAnsi="Times New Roman"/>
          <w:b w:val="1"/>
          <w:sz w:val="28"/>
        </w:rPr>
        <w:t xml:space="preserve"> подземного пространства</w:t>
      </w:r>
    </w:p>
    <w:p w14:paraId="5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5C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 местах,</w:t>
      </w:r>
    </w:p>
    <w:p w14:paraId="5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14:paraId="5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14:paraId="5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спокойствие, </w:t>
      </w:r>
      <w:r>
        <w:rPr>
          <w:rFonts w:ascii="Times New Roman" w:hAnsi="Times New Roman"/>
          <w:sz w:val="28"/>
        </w:rPr>
        <w:t>не допускать</w:t>
      </w:r>
      <w:r>
        <w:rPr>
          <w:rFonts w:ascii="Times New Roman" w:hAnsi="Times New Roman"/>
          <w:sz w:val="28"/>
        </w:rPr>
        <w:t xml:space="preserve"> случа</w:t>
      </w:r>
      <w:r>
        <w:rPr>
          <w:rFonts w:ascii="Times New Roman" w:hAnsi="Times New Roman"/>
          <w:sz w:val="28"/>
        </w:rPr>
        <w:t>ев</w:t>
      </w:r>
      <w:r>
        <w:rPr>
          <w:rFonts w:ascii="Times New Roman" w:hAnsi="Times New Roman"/>
          <w:sz w:val="28"/>
        </w:rPr>
        <w:t xml:space="preserve"> паники и нарушений общественного порядка,</w:t>
      </w:r>
    </w:p>
    <w:p w14:paraId="6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14:paraId="6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hAnsi="Times New Roman"/>
          <w:sz w:val="28"/>
        </w:rPr>
        <w:t xml:space="preserve"> (если имеется)</w:t>
      </w:r>
      <w:r>
        <w:rPr>
          <w:rFonts w:ascii="Times New Roman" w:hAnsi="Times New Roman"/>
          <w:sz w:val="28"/>
        </w:rPr>
        <w:t>);</w:t>
      </w:r>
    </w:p>
    <w:p w14:paraId="62000000">
      <w:pPr>
        <w:spacing w:after="0"/>
        <w:ind w:firstLine="709" w:left="0"/>
        <w:jc w:val="both"/>
        <w:rPr>
          <w:rFonts w:ascii="Times New Roman" w:hAnsi="Times New Roman"/>
          <w:b w:val="1"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14:paraId="6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hAnsi="Times New Roman"/>
          <w:sz w:val="28"/>
        </w:rPr>
        <w:t>.</w:t>
      </w:r>
    </w:p>
    <w:p w14:paraId="64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 в помещениях необходимо периодически смачивать водой.</w:t>
      </w:r>
    </w:p>
    <w:p w14:paraId="6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частичных разрушениях заглубленного и</w:t>
      </w: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hAnsi="Times New Roman"/>
          <w:sz w:val="28"/>
        </w:rPr>
        <w:t>тены и т.</w:t>
      </w:r>
      <w:r>
        <w:rPr>
          <w:rFonts w:ascii="Times New Roman" w:hAnsi="Times New Roman"/>
          <w:sz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66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hAnsi="Times New Roman"/>
          <w:sz w:val="28"/>
        </w:rPr>
        <w:t xml:space="preserve">указанию </w:t>
      </w:r>
      <w:r>
        <w:rPr>
          <w:rFonts w:ascii="Times New Roman" w:hAnsi="Times New Roman"/>
          <w:sz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14:paraId="6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рекомендуется: проводить беседы, чтение вслух, слушать радиопередачи, играть в тихие игры.</w:t>
      </w:r>
    </w:p>
    <w:p w14:paraId="68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 выхода из заглубленных и других помещений подземного пространства</w:t>
      </w:r>
    </w:p>
    <w:p w14:paraId="69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получения сигнала «Внимание всем!» с информацией об отбое воздушной тревоги нельзя выходить из заглубленных и других помещений </w:t>
      </w:r>
      <w:r>
        <w:rPr>
          <w:rFonts w:ascii="Times New Roman" w:hAnsi="Times New Roman"/>
          <w:sz w:val="28"/>
        </w:rPr>
        <w:t>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6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</w:p>
    <w:p w14:paraId="6B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Выход из указанного помещения не разрешается, если получена информация о наличии вблизи укрытия:</w:t>
      </w:r>
    </w:p>
    <w:p w14:paraId="6C00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неразорвавшихся боеприпасов;</w:t>
      </w:r>
    </w:p>
    <w:p w14:paraId="6D00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пожаров;</w:t>
      </w:r>
    </w:p>
    <w:p w14:paraId="6E000000">
      <w:pPr>
        <w:spacing w:after="0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разрушения здания, в котором расположено заглубленное и другое помещение подземного пространства.</w:t>
      </w:r>
    </w:p>
    <w:p w14:paraId="6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Эвакуация </w:t>
      </w:r>
      <w:r>
        <w:rPr>
          <w:rFonts w:ascii="Times New Roman" w:hAnsi="Times New Roman"/>
          <w:sz w:val="28"/>
        </w:rPr>
        <w:t>укрываемых</w:t>
      </w:r>
      <w:r>
        <w:rPr>
          <w:rFonts w:ascii="Times New Roman" w:hAnsi="Times New Roman"/>
          <w:sz w:val="28"/>
        </w:rPr>
        <w:t xml:space="preserve"> из заглубленного и другого помещения подземного</w:t>
      </w:r>
    </w:p>
    <w:p w14:paraId="7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пространства производится в </w:t>
      </w:r>
      <w:r>
        <w:rPr>
          <w:rFonts w:ascii="Times New Roman" w:hAnsi="Times New Roman"/>
          <w:sz w:val="28"/>
        </w:rPr>
        <w:t>следующей</w:t>
      </w:r>
      <w:r>
        <w:rPr>
          <w:rFonts w:ascii="Times New Roman" w:hAnsi="Times New Roman"/>
          <w:sz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14:paraId="7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72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hAnsi="Times New Roman"/>
          <w:sz w:val="28"/>
        </w:rPr>
        <w:t xml:space="preserve">рекомендовано </w:t>
      </w:r>
      <w:r>
        <w:rPr>
          <w:rFonts w:ascii="Times New Roman" w:hAnsi="Times New Roman"/>
          <w:sz w:val="28"/>
        </w:rPr>
        <w:t>укрываем</w:t>
      </w:r>
      <w:r>
        <w:rPr>
          <w:rFonts w:ascii="Times New Roman" w:hAnsi="Times New Roman"/>
          <w:sz w:val="28"/>
        </w:rPr>
        <w:t>ым иметь с</w:t>
      </w:r>
      <w:r>
        <w:rPr>
          <w:rFonts w:ascii="Times New Roman" w:hAnsi="Times New Roman"/>
          <w:sz w:val="28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2738"/>
        <w:gridCol w:w="6617"/>
      </w:tblGrid>
      <w:tr>
        <w:trPr>
          <w:trHeight w:hRule="atLeast" w:val="2229"/>
        </w:trPr>
        <w:tc>
          <w:tcPr>
            <w:tcW w:type="dxa" w:w="2738"/>
          </w:tcPr>
          <w:p w14:paraId="7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21790" cy="1820545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21790" cy="18205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17"/>
          </w:tcPr>
          <w:p w14:paraId="7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14:paraId="7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A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B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Вес «тревожного набора» и других необходимых принадлежностей</w:t>
      </w:r>
    </w:p>
    <w:p w14:paraId="7C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должен составлять не более:</w:t>
      </w:r>
    </w:p>
    <w:p w14:paraId="7D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мужчин – 30 кг;</w:t>
      </w:r>
    </w:p>
    <w:p w14:paraId="7E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женщин – 10 кг;</w:t>
      </w:r>
    </w:p>
    <w:p w14:paraId="7F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юношей и девушек в возрасте:</w:t>
      </w:r>
    </w:p>
    <w:p w14:paraId="80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 лет – 12 и 4 кг;</w:t>
      </w:r>
    </w:p>
    <w:p w14:paraId="81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 лет – 15 и 5 кг;</w:t>
      </w:r>
    </w:p>
    <w:p w14:paraId="82000000">
      <w:pPr>
        <w:spacing w:after="0" w:line="240" w:lineRule="auto"/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 лет – 20 и 7 кг;</w:t>
      </w: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лет – 24 и 8 кг соответственно.</w:t>
      </w:r>
    </w:p>
    <w:p w14:paraId="84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5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Средства индивидуальной защиты.</w:t>
      </w:r>
    </w:p>
    <w:tbl>
      <w:tblPr>
        <w:tblStyle w:val="Style_2"/>
        <w:tblLayout w:type="fixed"/>
      </w:tblPr>
      <w:tblGrid>
        <w:gridCol w:w="3167"/>
        <w:gridCol w:w="6188"/>
      </w:tblGrid>
      <w:tr>
        <w:trPr>
          <w:trHeight w:hRule="atLeast" w:val="2229"/>
        </w:trPr>
        <w:tc>
          <w:tcPr>
            <w:tcW w:type="dxa" w:w="3167"/>
          </w:tcPr>
          <w:p w14:paraId="8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552368" cy="1701579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52368" cy="17015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88"/>
          </w:tcPr>
          <w:p w14:paraId="8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Каждому укрываемому настоятельно рекомендуется иметь с собой </w:t>
            </w:r>
            <w:r>
              <w:rPr>
                <w:rFonts w:ascii="Times New Roman" w:hAnsi="Times New Roman"/>
                <w:sz w:val="28"/>
              </w:rPr>
              <w:t>самоспасатель</w:t>
            </w:r>
            <w:r>
              <w:rPr>
                <w:rFonts w:ascii="Times New Roman" w:hAnsi="Times New Roman"/>
                <w:sz w:val="28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14:paraId="88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</w:p>
    <w:p w14:paraId="8A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Аптечка.</w:t>
      </w: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 аптеч</w:t>
      </w:r>
      <w:r>
        <w:rPr>
          <w:rFonts w:ascii="Times New Roman" w:hAnsi="Times New Roman"/>
          <w:sz w:val="28"/>
        </w:rPr>
        <w:t xml:space="preserve">ки: бинты, лейкопластырь, йод, </w:t>
      </w:r>
      <w:r>
        <w:rPr>
          <w:rFonts w:ascii="Times New Roman" w:hAnsi="Times New Roman"/>
          <w:sz w:val="28"/>
        </w:rPr>
        <w:t>а также медицинские препараты (средства), которые члены семьи вынуждены принимать постоянно.</w:t>
      </w: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218"/>
        <w:gridCol w:w="6094"/>
      </w:tblGrid>
      <w:tr>
        <w:trPr>
          <w:trHeight w:hRule="atLeast" w:val="2403"/>
        </w:trPr>
        <w:tc>
          <w:tcPr>
            <w:tcW w:type="dxa" w:w="4218"/>
          </w:tcPr>
          <w:p w14:paraId="8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488758" cy="1749287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88758" cy="17492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94"/>
          </w:tcPr>
          <w:p w14:paraId="8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14:paraId="8F000000">
      <w:pPr>
        <w:spacing w:after="0" w:line="240" w:lineRule="auto"/>
        <w:ind w:firstLine="709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документы.</w:t>
      </w: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Продукты питания и запасы воды.</w:t>
      </w:r>
    </w:p>
    <w:tbl>
      <w:tblPr>
        <w:tblStyle w:val="Style_2"/>
        <w:tblLayout w:type="fixed"/>
      </w:tblPr>
      <w:tblGrid>
        <w:gridCol w:w="4218"/>
        <w:gridCol w:w="6094"/>
      </w:tblGrid>
      <w:tr>
        <w:trPr>
          <w:trHeight w:hRule="atLeast" w:val="2403"/>
        </w:trPr>
        <w:tc>
          <w:tcPr>
            <w:tcW w:type="dxa" w:w="4218"/>
          </w:tcPr>
          <w:p w14:paraId="9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488758" cy="1572533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88758" cy="15725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094"/>
          </w:tcPr>
          <w:p w14:paraId="9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Продукты питания и запасы воды необходимо взять на срок:</w:t>
            </w:r>
          </w:p>
          <w:p w14:paraId="9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одних суток, на период действия обычных средств поражения;</w:t>
            </w:r>
          </w:p>
          <w:p w14:paraId="9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32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14:paraId="9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следующий набор:</w:t>
      </w:r>
    </w:p>
    <w:p w14:paraId="9C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14:paraId="9D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14:paraId="9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</w:t>
      </w:r>
      <w:r>
        <w:rPr>
          <w:rFonts w:ascii="Times New Roman" w:hAnsi="Times New Roman"/>
          <w:b w:val="1"/>
          <w:sz w:val="28"/>
        </w:rPr>
        <w:t>Ни в коем случае не используйте стеклотару</w:t>
      </w:r>
      <w:r>
        <w:rPr>
          <w:rFonts w:ascii="Times New Roman" w:hAnsi="Times New Roman"/>
          <w:sz w:val="28"/>
        </w:rPr>
        <w:t>, которая может разбиться.</w:t>
      </w:r>
    </w:p>
    <w:p w14:paraId="9F000000">
      <w:pPr>
        <w:spacing w:after="0"/>
        <w:ind w:firstLine="709" w:left="0"/>
        <w:jc w:val="right"/>
        <w:rPr>
          <w:rFonts w:ascii="Times New Roman" w:hAnsi="Times New Roman"/>
          <w:sz w:val="28"/>
        </w:rPr>
      </w:pPr>
    </w:p>
    <w:p w14:paraId="A0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1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2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3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4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5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6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7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8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9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A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B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AC000000">
      <w:pPr>
        <w:spacing w:after="0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пребывания (поведения) укрываемых в заглубленных и других помещений подземного пространства</w:t>
      </w:r>
    </w:p>
    <w:p w14:paraId="AD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AE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 местах,</w:t>
      </w:r>
    </w:p>
    <w:p w14:paraId="AF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распоряжения дежурных;</w:t>
      </w:r>
    </w:p>
    <w:p w14:paraId="B0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14:paraId="B1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готовности средства индивидуальной защиты;</w:t>
      </w:r>
    </w:p>
    <w:p w14:paraId="B2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14:paraId="B3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спокойствие, </w:t>
      </w:r>
      <w:r>
        <w:rPr>
          <w:rFonts w:ascii="Times New Roman" w:hAnsi="Times New Roman"/>
          <w:sz w:val="28"/>
        </w:rPr>
        <w:t>не допускать</w:t>
      </w:r>
      <w:r>
        <w:rPr>
          <w:rFonts w:ascii="Times New Roman" w:hAnsi="Times New Roman"/>
          <w:sz w:val="28"/>
        </w:rPr>
        <w:t xml:space="preserve"> случа</w:t>
      </w:r>
      <w:r>
        <w:rPr>
          <w:rFonts w:ascii="Times New Roman" w:hAnsi="Times New Roman"/>
          <w:sz w:val="28"/>
        </w:rPr>
        <w:t>ев</w:t>
      </w:r>
      <w:r>
        <w:rPr>
          <w:rFonts w:ascii="Times New Roman" w:hAnsi="Times New Roman"/>
          <w:sz w:val="28"/>
        </w:rPr>
        <w:t xml:space="preserve"> паники и нарушений общественного порядка</w:t>
      </w:r>
      <w:r>
        <w:rPr>
          <w:rFonts w:ascii="Times New Roman" w:hAnsi="Times New Roman"/>
          <w:sz w:val="28"/>
        </w:rPr>
        <w:t>;</w:t>
      </w:r>
    </w:p>
    <w:p w14:paraId="B4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14:paraId="B5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вентиляции);</w:t>
      </w:r>
    </w:p>
    <w:p w14:paraId="B6000000">
      <w:pPr>
        <w:spacing w:after="0"/>
        <w:ind w:firstLine="709" w:left="0"/>
        <w:jc w:val="both"/>
        <w:rPr>
          <w:rFonts w:ascii="Times New Roman" w:hAnsi="Times New Roman"/>
          <w:b w:val="1"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14:paraId="B7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14:paraId="B8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hAnsi="Times New Roman"/>
          <w:sz w:val="28"/>
        </w:rPr>
        <w:t>.</w:t>
      </w:r>
    </w:p>
    <w:p w14:paraId="B900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</w:p>
    <w:p w14:paraId="BA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B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C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D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E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BF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0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1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2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3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4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5000000">
      <w:pPr>
        <w:spacing w:after="0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Укрываемым</w:t>
      </w:r>
      <w:r>
        <w:rPr>
          <w:rFonts w:ascii="Times New Roman" w:hAnsi="Times New Roman"/>
          <w:b w:val="1"/>
          <w:sz w:val="28"/>
        </w:rPr>
        <w:t xml:space="preserve"> в заглубленных и других помещениях подземного пространства запрещено:</w:t>
      </w:r>
    </w:p>
    <w:tbl>
      <w:tblPr>
        <w:tblStyle w:val="Style_2"/>
        <w:tblLayout w:type="fixed"/>
      </w:tblPr>
      <w:tblGrid>
        <w:gridCol w:w="2193"/>
        <w:gridCol w:w="785"/>
        <w:gridCol w:w="2616"/>
        <w:gridCol w:w="784"/>
        <w:gridCol w:w="2976"/>
      </w:tblGrid>
      <w:tr>
        <w:trPr>
          <w:trHeight w:hRule="atLeast" w:val="1634"/>
        </w:trPr>
        <w:tc>
          <w:tcPr>
            <w:tcW w:type="dxa" w:w="2193"/>
          </w:tcPr>
          <w:p w14:paraId="C600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52500" cy="952500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52500" cy="952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5"/>
          </w:tcPr>
          <w:p w14:paraId="C7000000">
            <w:pPr>
              <w:tabs>
                <w:tab w:leader="none" w:pos="1014" w:val="left"/>
              </w:tabs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</w:p>
        </w:tc>
        <w:tc>
          <w:tcPr>
            <w:tcW w:type="dxa" w:w="2616"/>
          </w:tcPr>
          <w:p w14:paraId="C8000000">
            <w:pPr>
              <w:tabs>
                <w:tab w:leader="none" w:pos="1014" w:val="left"/>
              </w:tabs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drawing>
                <wp:inline>
                  <wp:extent cx="938696" cy="952500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8696" cy="952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4"/>
          </w:tcPr>
          <w:p w14:paraId="C900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CA000000">
            <w:pPr>
              <w:spacing w:after="0" w:line="240" w:lineRule="auto"/>
              <w:ind w:firstLine="0"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895350" cy="895350"/>
                  <wp:effectExtent b="0" l="0" r="0" t="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95350" cy="895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387"/>
        </w:trPr>
        <w:tc>
          <w:tcPr>
            <w:tcW w:type="dxa" w:w="2193"/>
          </w:tcPr>
          <w:p w14:paraId="CB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курить</w:t>
            </w:r>
          </w:p>
        </w:tc>
        <w:tc>
          <w:tcPr>
            <w:tcW w:type="dxa" w:w="785"/>
          </w:tcPr>
          <w:p w14:paraId="CC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6"/>
          </w:tcPr>
          <w:p w14:paraId="CD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употреблять спиртные напитки</w:t>
            </w:r>
          </w:p>
        </w:tc>
        <w:tc>
          <w:tcPr>
            <w:tcW w:type="dxa" w:w="784"/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применять источники освещения с открытым пламен</w:t>
            </w:r>
            <w:r>
              <w:rPr>
                <w:rFonts w:ascii="Times New Roman" w:hAnsi="Times New Roman"/>
                <w:sz w:val="28"/>
              </w:rPr>
              <w:t>ем, пользоваться открытым огнем</w:t>
            </w:r>
          </w:p>
        </w:tc>
      </w:tr>
      <w:tr>
        <w:trPr>
          <w:trHeight w:hRule="atLeast" w:val="1609"/>
        </w:trPr>
        <w:tc>
          <w:tcPr>
            <w:tcW w:type="dxa" w:w="2193"/>
          </w:tcPr>
          <w:p w14:paraId="D0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04875" cy="904875"/>
                  <wp:effectExtent b="0" l="0" r="0" t="0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04875" cy="904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5"/>
          </w:tcPr>
          <w:p w14:paraId="D1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6"/>
          </w:tcPr>
          <w:p w14:paraId="D2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33450" cy="933450"/>
                  <wp:effectExtent b="0" l="0" r="0" t="0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3450" cy="933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4"/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226556" cy="912239"/>
                  <wp:effectExtent b="0" l="0" r="0" t="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2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26556" cy="9122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406"/>
        </w:trPr>
        <w:tc>
          <w:tcPr>
            <w:tcW w:type="dxa" w:w="2193"/>
          </w:tcPr>
          <w:p w14:paraId="D5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ходить без надобности по помещению</w:t>
            </w:r>
          </w:p>
        </w:tc>
        <w:tc>
          <w:tcPr>
            <w:tcW w:type="dxa" w:w="785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6"/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 </w:t>
            </w:r>
            <w:r>
              <w:rPr>
                <w:rFonts w:ascii="Times New Roman" w:hAnsi="Times New Roman"/>
                <w:sz w:val="28"/>
              </w:rPr>
              <w:t xml:space="preserve">шуметь, </w:t>
            </w:r>
            <w:r>
              <w:rPr>
                <w:rFonts w:ascii="Times New Roman" w:hAnsi="Times New Roman"/>
                <w:sz w:val="28"/>
              </w:rPr>
              <w:t xml:space="preserve">громко </w:t>
            </w:r>
            <w:r>
              <w:rPr>
                <w:rFonts w:ascii="Times New Roman" w:hAnsi="Times New Roman"/>
                <w:sz w:val="28"/>
              </w:rPr>
              <w:t>разговаривать</w:t>
            </w:r>
          </w:p>
        </w:tc>
        <w:tc>
          <w:tcPr>
            <w:tcW w:type="dxa" w:w="784"/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>
        <w:trPr>
          <w:trHeight w:hRule="atLeast" w:val="1609"/>
        </w:trPr>
        <w:tc>
          <w:tcPr>
            <w:tcW w:type="dxa" w:w="2193"/>
          </w:tcPr>
          <w:p w14:paraId="DA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952500" cy="928981"/>
                  <wp:effectExtent b="0" l="0" r="0" t="0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24"/>
                          <a:srcRect b="18487" l="15966" r="15966" t="15126"/>
                          <a:stretch/>
                        </pic:blipFill>
                        <pic:spPr>
                          <a:xfrm flipH="false" flipV="false" rot="0">
                            <a:ext cx="952500" cy="9289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85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6"/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84"/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1139"/>
        </w:trPr>
        <w:tc>
          <w:tcPr>
            <w:tcW w:type="dxa" w:w="2193"/>
          </w:tcPr>
          <w:p w14:paraId="DF000000">
            <w:pPr>
              <w:spacing w:after="0" w:line="240" w:lineRule="auto"/>
              <w:ind w:firstLine="0"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hAnsi="Times New Roman"/>
                <w:sz w:val="28"/>
              </w:rPr>
              <w:t>старшего по укрытию</w:t>
            </w:r>
          </w:p>
        </w:tc>
        <w:tc>
          <w:tcPr>
            <w:tcW w:type="dxa" w:w="785"/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616"/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84"/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6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E4000000">
      <w:r>
        <w:rPr>
          <w:rFonts w:ascii="Times New Roman" w:hAnsi="Times New Roman"/>
          <w:b w:val="1"/>
          <w:sz w:val="28"/>
        </w:rPr>
        <w:t xml:space="preserve">А </w:t>
      </w:r>
      <w:r>
        <w:rPr>
          <w:rFonts w:ascii="Times New Roman" w:hAnsi="Times New Roman"/>
          <w:b w:val="1"/>
          <w:sz w:val="28"/>
        </w:rPr>
        <w:t>т</w:t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3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3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3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3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3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Balloon Text"/>
    <w:basedOn w:val="Style_3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3_ch"/>
    <w:link w:val="Style_17"/>
    <w:rPr>
      <w:rFonts w:ascii="Tahoma" w:hAnsi="Tahoma"/>
      <w:sz w:val="16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Subtitle"/>
    <w:next w:val="Style_3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3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3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3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1" w:type="table">
    <w:name w:val="Сетка таблицы1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" w:type="table">
    <w:name w:val="Table Grid"/>
    <w:basedOn w:val="Style_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stylesWithEffects.xml" Type="http://schemas.microsoft.com/office/2007/relationships/stylesWithEffects"/>
  <Relationship Id="rId24" Target="media/24.png" Type="http://schemas.openxmlformats.org/officeDocument/2006/relationships/image"/>
  <Relationship Id="rId23" Target="media/23.jpeg" Type="http://schemas.openxmlformats.org/officeDocument/2006/relationships/image"/>
  <Relationship Id="rId27" Target="styles.xml" Type="http://schemas.openxmlformats.org/officeDocument/2006/relationships/styles"/>
  <Relationship Id="rId21" Target="media/21.jpeg" Type="http://schemas.openxmlformats.org/officeDocument/2006/relationships/imag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17" Target="media/17.emf" Type="http://schemas.openxmlformats.org/officeDocument/2006/relationships/image"/>
  <Relationship Id="rId15" Target="media/15.png" Type="http://schemas.openxmlformats.org/officeDocument/2006/relationships/image"/>
  <Relationship Id="rId11" Target="media/11.emf" Type="http://schemas.openxmlformats.org/officeDocument/2006/relationships/image"/>
  <Relationship Id="rId16" Target="media/16.emf" Type="http://schemas.openxmlformats.org/officeDocument/2006/relationships/image"/>
  <Relationship Id="rId22" Target="media/22.jpeg" Type="http://schemas.openxmlformats.org/officeDocument/2006/relationships/image"/>
  <Relationship Id="rId10" Target="media/10.emf" Type="http://schemas.openxmlformats.org/officeDocument/2006/relationships/image"/>
  <Relationship Id="rId7" Target="media/7.emf" Type="http://schemas.openxmlformats.org/officeDocument/2006/relationships/image"/>
  <Relationship Id="rId14" Target="media/14.emf" Type="http://schemas.openxmlformats.org/officeDocument/2006/relationships/image"/>
  <Relationship Id="rId6" Target="media/6.emf" Type="http://schemas.openxmlformats.org/officeDocument/2006/relationships/image"/>
  <Relationship Id="rId13" Target="media/13.emf" Type="http://schemas.openxmlformats.org/officeDocument/2006/relationships/image"/>
  <Relationship Id="rId5" Target="media/5.png" Type="http://schemas.openxmlformats.org/officeDocument/2006/relationships/image"/>
  <Relationship Id="rId9" Target="media/9.emf" Type="http://schemas.openxmlformats.org/officeDocument/2006/relationships/image"/>
  <Relationship Id="rId26" Target="settings.xml" Type="http://schemas.openxmlformats.org/officeDocument/2006/relationships/settings"/>
  <Relationship Id="rId4" Target="media/4.emf" Type="http://schemas.openxmlformats.org/officeDocument/2006/relationships/image"/>
  <Relationship Id="rId8" Target="media/8.emf" Type="http://schemas.openxmlformats.org/officeDocument/2006/relationships/image"/>
  <Relationship Id="rId29" Target="webSettings.xml" Type="http://schemas.openxmlformats.org/officeDocument/2006/relationships/webSettings"/>
  <Relationship Id="rId3" Target="media/3.emf" Type="http://schemas.openxmlformats.org/officeDocument/2006/relationships/image"/>
  <Relationship Id="rId12" Target="media/12.emf" Type="http://schemas.openxmlformats.org/officeDocument/2006/relationships/image"/>
  <Relationship Id="rId30" Target="theme/theme1.xml" Type="http://schemas.openxmlformats.org/officeDocument/2006/relationships/theme"/>
  <Relationship Id="rId25" Target="fontTable.xml" Type="http://schemas.openxmlformats.org/officeDocument/2006/relationships/fontTable"/>
  <Relationship Id="rId2" Target="media/2.emf" Type="http://schemas.openxmlformats.org/officeDocument/2006/relationships/image"/>
  <Relationship Id="rId20" Target="media/20.jpeg" Type="http://schemas.openxmlformats.org/officeDocument/2006/relationships/image"/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2022-11-03T05:43:41Z</dcterms:modified>
</cp:coreProperties>
</file>