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320291" w:rsidRDefault="006A65BA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6A65BA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320291" w:rsidRPr="00753B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0291" w:rsidRPr="00753BFE">
        <w:rPr>
          <w:rFonts w:ascii="Times New Roman" w:hAnsi="Times New Roman" w:cs="Times New Roman"/>
          <w:sz w:val="28"/>
          <w:szCs w:val="28"/>
        </w:rPr>
        <w:t xml:space="preserve">. Семикаракорск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20291" w:rsidRPr="00753BFE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 28.12.201</w:t>
      </w:r>
      <w:r w:rsidR="00340DDF" w:rsidRPr="00753BFE">
        <w:rPr>
          <w:rFonts w:ascii="Times New Roman" w:hAnsi="Times New Roman" w:cs="Times New Roman"/>
          <w:sz w:val="28"/>
          <w:szCs w:val="28"/>
        </w:rPr>
        <w:t>7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355  «Об утверждении муниципальной программы Семикаракорского городского поселения </w:t>
      </w:r>
      <w:r w:rsidR="00320291" w:rsidRPr="00753BFE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753BFE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Семикаракорского городского поселения от </w:t>
      </w:r>
      <w:r w:rsidR="00A37FCF" w:rsidRPr="00753BFE">
        <w:rPr>
          <w:rFonts w:ascii="Times New Roman" w:hAnsi="Times New Roman" w:cs="Times New Roman"/>
          <w:sz w:val="28"/>
          <w:szCs w:val="28"/>
        </w:rPr>
        <w:t>23</w:t>
      </w:r>
      <w:r w:rsidRPr="00753BFE">
        <w:rPr>
          <w:rFonts w:ascii="Times New Roman" w:hAnsi="Times New Roman" w:cs="Times New Roman"/>
          <w:sz w:val="28"/>
          <w:szCs w:val="28"/>
        </w:rPr>
        <w:t>.0</w:t>
      </w:r>
      <w:r w:rsidR="00A37FCF" w:rsidRPr="00753BFE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>.201</w:t>
      </w:r>
      <w:r w:rsidR="00A37FCF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 w:rsidRPr="00753BFE">
        <w:rPr>
          <w:rFonts w:ascii="Times New Roman" w:hAnsi="Times New Roman" w:cs="Times New Roman"/>
          <w:sz w:val="28"/>
          <w:szCs w:val="28"/>
        </w:rPr>
        <w:t>280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0E247A">
        <w:rPr>
          <w:rFonts w:ascii="Times New Roman" w:hAnsi="Times New Roman" w:cs="Times New Roman"/>
          <w:sz w:val="28"/>
          <w:szCs w:val="28"/>
        </w:rPr>
        <w:t>27.05</w:t>
      </w:r>
      <w:r w:rsidR="00655B1B" w:rsidRPr="00753BFE">
        <w:rPr>
          <w:rFonts w:ascii="Times New Roman" w:hAnsi="Times New Roman" w:cs="Times New Roman"/>
          <w:sz w:val="28"/>
          <w:szCs w:val="28"/>
        </w:rPr>
        <w:t>.2020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0E247A">
        <w:rPr>
          <w:rFonts w:ascii="Times New Roman" w:hAnsi="Times New Roman" w:cs="Times New Roman"/>
          <w:sz w:val="28"/>
          <w:szCs w:val="28"/>
        </w:rPr>
        <w:t>180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655B1B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>.11.201</w:t>
      </w:r>
      <w:r w:rsidR="00655B1B" w:rsidRPr="00753BFE">
        <w:rPr>
          <w:rFonts w:ascii="Times New Roman" w:hAnsi="Times New Roman" w:cs="Times New Roman"/>
          <w:sz w:val="28"/>
          <w:szCs w:val="28"/>
        </w:rPr>
        <w:t>9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55B1B" w:rsidRPr="00753BFE">
        <w:rPr>
          <w:rFonts w:ascii="Times New Roman" w:hAnsi="Times New Roman" w:cs="Times New Roman"/>
          <w:sz w:val="28"/>
          <w:szCs w:val="28"/>
        </w:rPr>
        <w:t>154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3BFE">
        <w:rPr>
          <w:rFonts w:ascii="Times New Roman" w:hAnsi="Times New Roman" w:cs="Times New Roman"/>
          <w:sz w:val="28"/>
          <w:szCs w:val="28"/>
        </w:rPr>
        <w:t>«О бюджете Семикаракорского городского поселени</w:t>
      </w:r>
      <w:r w:rsidR="00655B1B" w:rsidRPr="00753BFE">
        <w:rPr>
          <w:rFonts w:ascii="Times New Roman" w:hAnsi="Times New Roman" w:cs="Times New Roman"/>
          <w:sz w:val="28"/>
          <w:szCs w:val="28"/>
        </w:rPr>
        <w:t>я Семикаракорского района на</w:t>
      </w:r>
      <w:proofErr w:type="gramEnd"/>
      <w:r w:rsidR="00655B1B" w:rsidRPr="00753BFE">
        <w:rPr>
          <w:rFonts w:ascii="Times New Roman" w:hAnsi="Times New Roman" w:cs="Times New Roman"/>
          <w:sz w:val="28"/>
          <w:szCs w:val="28"/>
        </w:rPr>
        <w:t xml:space="preserve"> 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55B1B" w:rsidRPr="00753BFE">
        <w:rPr>
          <w:rFonts w:ascii="Times New Roman" w:hAnsi="Times New Roman" w:cs="Times New Roman"/>
          <w:sz w:val="28"/>
          <w:szCs w:val="28"/>
        </w:rPr>
        <w:t>21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202</w:t>
      </w:r>
      <w:r w:rsidR="00655B1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1074B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53BFE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Pr="00753BFE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753BFE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 w:rsidRPr="00753BFE">
        <w:rPr>
          <w:rFonts w:ascii="Times New Roman" w:hAnsi="Times New Roman" w:cs="Times New Roman"/>
          <w:sz w:val="28"/>
          <w:szCs w:val="28"/>
        </w:rPr>
        <w:t>7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753BFE">
        <w:rPr>
          <w:rFonts w:ascii="Times New Roman" w:hAnsi="Times New Roman" w:cs="Times New Roman"/>
          <w:sz w:val="28"/>
          <w:szCs w:val="28"/>
        </w:rPr>
        <w:t>355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proofErr w:type="gramStart"/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753B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B80" w:rsidRPr="00753BF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074B" w:rsidRPr="00753BFE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753BFE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6A65BA">
        <w:rPr>
          <w:rFonts w:ascii="Times New Roman" w:hAnsi="Times New Roman" w:cs="Times New Roman"/>
          <w:sz w:val="28"/>
          <w:szCs w:val="28"/>
        </w:rPr>
        <w:t>01.04.2020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A65BA">
        <w:rPr>
          <w:rFonts w:ascii="Times New Roman" w:hAnsi="Times New Roman" w:cs="Times New Roman"/>
          <w:sz w:val="28"/>
          <w:szCs w:val="28"/>
        </w:rPr>
        <w:t>205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D43326" w:rsidRPr="00753BFE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 w:rsidRPr="00753BFE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 w:rsidRPr="00753BFE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320291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4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753BF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</w:t>
      </w:r>
      <w:r w:rsidR="00594FB8">
        <w:rPr>
          <w:rFonts w:ascii="Times New Roman" w:hAnsi="Times New Roman" w:cs="Times New Roman"/>
          <w:sz w:val="28"/>
          <w:szCs w:val="28"/>
        </w:rPr>
        <w:t>ородскому хозяйству Силина Д.М.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753BFE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753BFE">
        <w:rPr>
          <w:rFonts w:ascii="Times New Roman" w:hAnsi="Times New Roman" w:cs="Times New Roman"/>
          <w:sz w:val="28"/>
          <w:szCs w:val="28"/>
        </w:rPr>
        <w:br/>
        <w:t>городского поселения                                                                           А.Н.</w:t>
      </w:r>
      <w:r w:rsidR="009D76FD" w:rsidRPr="00753BFE">
        <w:rPr>
          <w:rFonts w:ascii="Times New Roman" w:hAnsi="Times New Roman" w:cs="Times New Roman"/>
          <w:sz w:val="28"/>
          <w:szCs w:val="28"/>
        </w:rPr>
        <w:t>Ч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753BFE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20291" w:rsidRPr="00753BFE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320291" w:rsidRPr="00753BFE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20291" w:rsidRPr="00753BFE" w:rsidRDefault="00594FB8" w:rsidP="00320291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Карпов А.Н.</w:t>
      </w:r>
    </w:p>
    <w:p w:rsidR="00320291" w:rsidRPr="00753BFE" w:rsidRDefault="00320291" w:rsidP="009D76FD">
      <w:pPr>
        <w:pageBreakBefore/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RPr="00753BFE" w:rsidTr="00721690">
        <w:tc>
          <w:tcPr>
            <w:tcW w:w="5353" w:type="dxa"/>
          </w:tcPr>
          <w:p w:rsidR="00E52E85" w:rsidRPr="00753BFE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52E85" w:rsidRPr="00753BFE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Семикаракорского городского поселения </w:t>
            </w:r>
          </w:p>
          <w:p w:rsidR="00E52E85" w:rsidRPr="00753BFE" w:rsidRDefault="00E52E85" w:rsidP="000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025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D76FD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7E025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721690" w:rsidRPr="00753BFE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постановлению Администрации Семикаракорского городского поселения </w:t>
            </w:r>
          </w:p>
          <w:p w:rsidR="00721690" w:rsidRPr="00753BFE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 28.12.201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№ 355</w:t>
            </w:r>
          </w:p>
        </w:tc>
      </w:tr>
    </w:tbl>
    <w:p w:rsidR="00801F11" w:rsidRPr="00753BFE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753BFE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753BFE" w:rsidTr="005170AC">
        <w:tc>
          <w:tcPr>
            <w:tcW w:w="3652" w:type="dxa"/>
          </w:tcPr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753BFE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753B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753BFE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753BFE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753BFE" w:rsidTr="005170AC">
        <w:tc>
          <w:tcPr>
            <w:tcW w:w="3652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многоквартирных домов Семикаракорского 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753BFE" w:rsidTr="005170AC">
        <w:tc>
          <w:tcPr>
            <w:tcW w:w="3652" w:type="dxa"/>
          </w:tcPr>
          <w:p w:rsidR="004F4DFA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753BFE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753BF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753BFE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753BFE" w:rsidTr="005170AC">
        <w:tc>
          <w:tcPr>
            <w:tcW w:w="3652" w:type="dxa"/>
          </w:tcPr>
          <w:p w:rsidR="005F0530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753BFE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требующих прохождения обучения</w:t>
            </w:r>
            <w:r w:rsidR="002953F5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753BFE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753BFE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753BFE" w:rsidRDefault="00AF2B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6467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="006467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E2D46">
              <w:rPr>
                <w:rFonts w:ascii="Times New Roman" w:hAnsi="Times New Roman" w:cs="Times New Roman"/>
                <w:sz w:val="28"/>
                <w:szCs w:val="28"/>
              </w:rPr>
              <w:t>2 082,3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753BFE" w:rsidRDefault="00514B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753BFE" w:rsidRDefault="00DE2D4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65DF0">
              <w:rPr>
                <w:rFonts w:ascii="Times New Roman" w:hAnsi="Times New Roman" w:cs="Times New Roman"/>
                <w:sz w:val="28"/>
                <w:szCs w:val="28"/>
              </w:rPr>
              <w:t xml:space="preserve">623,7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753BFE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="007C124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753BFE" w:rsidRDefault="00DE2D4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9 437,8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E2D46">
              <w:rPr>
                <w:rFonts w:ascii="Times New Roman" w:hAnsi="Times New Roman" w:cs="Times New Roman"/>
                <w:sz w:val="28"/>
                <w:szCs w:val="28"/>
              </w:rPr>
              <w:t>1 458,6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753BFE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753BFE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753BFE" w:rsidTr="005170AC">
        <w:tc>
          <w:tcPr>
            <w:tcW w:w="3652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753BFE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753BFE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753BFE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753BFE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753BFE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753BF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благоустройства и санитарного содержания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ны </w:t>
      </w:r>
      <w:r w:rsidRPr="00753BFE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753BFE">
        <w:rPr>
          <w:rFonts w:ascii="Times New Roman" w:hAnsi="Times New Roman" w:cs="Times New Roman"/>
          <w:sz w:val="28"/>
          <w:szCs w:val="28"/>
        </w:rPr>
        <w:t>Данные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(в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753BFE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753BFE">
        <w:rPr>
          <w:rFonts w:ascii="Times New Roman" w:hAnsi="Times New Roman" w:cs="Times New Roman"/>
          <w:sz w:val="28"/>
          <w:szCs w:val="28"/>
        </w:rPr>
        <w:t>, ра</w:t>
      </w:r>
      <w:r w:rsidR="007508A6" w:rsidRPr="00753BFE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753BFE">
        <w:rPr>
          <w:rFonts w:ascii="Times New Roman" w:hAnsi="Times New Roman" w:cs="Times New Roman"/>
          <w:sz w:val="28"/>
          <w:szCs w:val="28"/>
        </w:rPr>
        <w:t>С</w:t>
      </w:r>
      <w:r w:rsidR="00A65AFE" w:rsidRPr="00753BFE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753BFE">
        <w:rPr>
          <w:rFonts w:ascii="Times New Roman" w:hAnsi="Times New Roman" w:cs="Times New Roman"/>
          <w:sz w:val="28"/>
          <w:szCs w:val="28"/>
        </w:rPr>
        <w:t>многие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753BFE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753BFE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753BFE">
        <w:rPr>
          <w:rFonts w:ascii="Times New Roman" w:hAnsi="Times New Roman" w:cs="Times New Roman"/>
          <w:sz w:val="28"/>
          <w:szCs w:val="28"/>
        </w:rPr>
        <w:t>в 8</w:t>
      </w:r>
      <w:r w:rsidR="008728F8" w:rsidRPr="00753BFE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</w:t>
      </w:r>
      <w:r w:rsidR="00D34F59" w:rsidRPr="00753BFE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753BFE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753BFE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753BF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753BFE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муниципальной программы в неполном объеме, как за счет бюджетных, так и </w:t>
      </w:r>
      <w:r w:rsidR="00D34F59" w:rsidRPr="00753BFE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источников. Данный риск возникает по причине значительной продолжите</w:t>
      </w:r>
      <w:r w:rsidRPr="00753BFE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753BFE">
        <w:rPr>
          <w:rFonts w:ascii="Times New Roman" w:hAnsi="Times New Roman" w:cs="Times New Roman"/>
          <w:sz w:val="28"/>
          <w:szCs w:val="28"/>
        </w:rPr>
        <w:t>может быть к</w:t>
      </w:r>
      <w:r w:rsidRPr="00753BFE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753BFE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753B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0392C" w:rsidRPr="00753BFE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753BFE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753BFE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 w:rsidRPr="00753BF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753BFE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753BFE">
        <w:rPr>
          <w:rFonts w:ascii="Times New Roman" w:hAnsi="Times New Roman" w:cs="Times New Roman"/>
          <w:sz w:val="28"/>
          <w:szCs w:val="28"/>
        </w:rPr>
        <w:t>планируется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753BFE">
        <w:rPr>
          <w:rFonts w:ascii="Times New Roman" w:hAnsi="Times New Roman" w:cs="Times New Roman"/>
          <w:sz w:val="28"/>
          <w:szCs w:val="28"/>
        </w:rPr>
        <w:t>ть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753BFE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753BFE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753BFE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753BFE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753BFE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</w:t>
      </w:r>
      <w:r w:rsidR="00465817" w:rsidRPr="00753BFE">
        <w:rPr>
          <w:rFonts w:ascii="Times New Roman" w:hAnsi="Times New Roman" w:cs="Times New Roman"/>
          <w:sz w:val="28"/>
          <w:szCs w:val="28"/>
        </w:rPr>
        <w:t xml:space="preserve"> ц</w:t>
      </w:r>
      <w:r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753BFE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 1.2.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</w:t>
      </w:r>
      <w:r w:rsidR="00FA36B0"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</w:t>
      </w:r>
      <w:r w:rsidRPr="00753BFE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>-202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753BFE">
        <w:rPr>
          <w:rFonts w:ascii="Times New Roman" w:hAnsi="Times New Roman" w:cs="Times New Roman"/>
          <w:sz w:val="28"/>
          <w:szCs w:val="28"/>
        </w:rPr>
        <w:t>у</w:t>
      </w:r>
      <w:r w:rsidRPr="00753BFE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753BFE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753BFE">
        <w:rPr>
          <w:rFonts w:ascii="Times New Roman" w:hAnsi="Times New Roman" w:cs="Times New Roman"/>
          <w:sz w:val="28"/>
          <w:szCs w:val="28"/>
        </w:rPr>
        <w:t>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753BFE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753BFE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у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-повышением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753BFE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753BFE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двух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753B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753BFE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753BFE">
        <w:rPr>
          <w:rFonts w:ascii="Times New Roman" w:hAnsi="Times New Roman" w:cs="Times New Roman"/>
          <w:sz w:val="28"/>
          <w:szCs w:val="28"/>
        </w:rPr>
        <w:t>еш</w:t>
      </w:r>
      <w:r w:rsidR="00705A41" w:rsidRPr="00753BFE">
        <w:rPr>
          <w:rFonts w:ascii="Times New Roman" w:hAnsi="Times New Roman" w:cs="Times New Roman"/>
          <w:sz w:val="28"/>
          <w:szCs w:val="28"/>
        </w:rPr>
        <w:t>ения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753BFE">
        <w:rPr>
          <w:rFonts w:ascii="Times New Roman" w:hAnsi="Times New Roman" w:cs="Times New Roman"/>
          <w:sz w:val="28"/>
          <w:szCs w:val="28"/>
        </w:rPr>
        <w:t>«</w:t>
      </w:r>
      <w:r w:rsidR="00250BA2" w:rsidRPr="00753BFE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753BFE">
        <w:rPr>
          <w:rFonts w:ascii="Times New Roman" w:hAnsi="Times New Roman" w:cs="Times New Roman"/>
          <w:sz w:val="28"/>
          <w:szCs w:val="28"/>
        </w:rPr>
        <w:t>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3F4607" w:rsidRPr="00753BFE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E21F1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3F4607" w:rsidRPr="00753BFE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753BFE">
        <w:rPr>
          <w:rFonts w:ascii="Times New Roman" w:hAnsi="Times New Roman" w:cs="Times New Roman"/>
          <w:sz w:val="28"/>
          <w:szCs w:val="28"/>
        </w:rPr>
        <w:t>2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753BFE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753BFE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672109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26FEF" w:rsidRPr="00753BFE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72109" w:rsidRPr="00753BFE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753BF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753BFE">
        <w:rPr>
          <w:rFonts w:ascii="Times New Roman" w:hAnsi="Times New Roman" w:cs="Times New Roman"/>
          <w:sz w:val="28"/>
          <w:szCs w:val="28"/>
        </w:rPr>
        <w:t>»</w:t>
      </w:r>
      <w:r w:rsidR="00D6092E"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>Раздел 4. Информация по ресурсному обеспечению</w:t>
      </w: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431338">
        <w:rPr>
          <w:rFonts w:ascii="Times New Roman" w:hAnsi="Times New Roman" w:cs="Times New Roman"/>
          <w:sz w:val="28"/>
          <w:szCs w:val="28"/>
        </w:rPr>
        <w:t>211 559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F4B28">
        <w:rPr>
          <w:rFonts w:ascii="Times New Roman" w:hAnsi="Times New Roman" w:cs="Times New Roman"/>
          <w:sz w:val="28"/>
          <w:szCs w:val="28"/>
        </w:rPr>
        <w:t>174 029.2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753BFE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431338">
        <w:rPr>
          <w:rFonts w:ascii="Times New Roman" w:hAnsi="Times New Roman" w:cs="Times New Roman"/>
          <w:sz w:val="28"/>
          <w:szCs w:val="28"/>
        </w:rPr>
        <w:t>9 437.8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753BFE">
        <w:rPr>
          <w:rFonts w:ascii="Times New Roman" w:hAnsi="Times New Roman" w:cs="Times New Roman"/>
          <w:sz w:val="28"/>
          <w:szCs w:val="28"/>
        </w:rPr>
        <w:t>0</w:t>
      </w:r>
      <w:r w:rsidR="00B33ED0" w:rsidRPr="00753BFE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753BFE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C76316" w:rsidRPr="00753BF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753BFE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753BFE">
        <w:rPr>
          <w:rFonts w:ascii="Times New Roman" w:hAnsi="Times New Roman" w:cs="Times New Roman"/>
          <w:sz w:val="28"/>
          <w:szCs w:val="28"/>
        </w:rPr>
        <w:t>местного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753BF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753BFE">
        <w:rPr>
          <w:rFonts w:ascii="Times New Roman" w:hAnsi="Times New Roman" w:cs="Times New Roman"/>
          <w:sz w:val="28"/>
          <w:szCs w:val="28"/>
        </w:rPr>
        <w:t>амме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</w:t>
      </w:r>
      <w:proofErr w:type="gram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753BFE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753BFE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>7</w:t>
      </w:r>
      <w:r w:rsidRPr="00753BFE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753BFE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753BFE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ab/>
      </w:r>
      <w:r w:rsidRPr="00753BFE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753BF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753BFE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8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753BFE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753BFE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753BFE">
        <w:rPr>
          <w:rFonts w:ascii="Times New Roman" w:hAnsi="Times New Roman" w:cs="Times New Roman"/>
          <w:sz w:val="28"/>
          <w:szCs w:val="28"/>
        </w:rPr>
        <w:t>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753BFE">
        <w:rPr>
          <w:rFonts w:ascii="Times New Roman" w:hAnsi="Times New Roman" w:cs="Times New Roman"/>
          <w:sz w:val="28"/>
          <w:szCs w:val="28"/>
        </w:rPr>
        <w:t>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753BFE">
        <w:rPr>
          <w:rFonts w:ascii="Times New Roman" w:hAnsi="Times New Roman" w:cs="Times New Roman"/>
          <w:sz w:val="28"/>
          <w:szCs w:val="28"/>
        </w:rPr>
        <w:t>муниципальной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в </w:t>
      </w:r>
      <w:r w:rsidRPr="00753BF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753BFE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</w:t>
      </w:r>
      <w:r w:rsidR="001B083F" w:rsidRPr="00753BFE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753BFE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Годовой отчет содержит: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753BFE">
        <w:rPr>
          <w:rFonts w:ascii="Times New Roman" w:hAnsi="Times New Roman" w:cs="Times New Roman"/>
          <w:sz w:val="28"/>
          <w:szCs w:val="28"/>
        </w:rPr>
        <w:t>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>лавы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753BFE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753BFE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53BFE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E52E85" w:rsidRPr="00753BFE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753BFE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753BFE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9.1. </w:t>
      </w:r>
      <w:r w:rsidR="001B083F" w:rsidRPr="00753BF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753BFE" w:rsidTr="00310388">
        <w:tc>
          <w:tcPr>
            <w:tcW w:w="3652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753BFE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753BFE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753BFE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753BFE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753BFE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753BFE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753BFE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753BFE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753BFE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753BFE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н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-з</w:t>
      </w:r>
      <w:r w:rsidR="007D70D2" w:rsidRPr="00753BFE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7D70D2" w:rsidRPr="00753BFE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-в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</w:t>
      </w:r>
      <w:r w:rsidR="007D70D2" w:rsidRPr="00753BFE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753BFE">
        <w:rPr>
          <w:rFonts w:ascii="Times New Roman" w:hAnsi="Times New Roman" w:cs="Times New Roman"/>
          <w:sz w:val="28"/>
          <w:szCs w:val="28"/>
        </w:rPr>
        <w:t>собой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753BFE">
        <w:rPr>
          <w:rFonts w:ascii="Times New Roman" w:hAnsi="Times New Roman" w:cs="Times New Roman"/>
          <w:sz w:val="28"/>
          <w:szCs w:val="28"/>
        </w:rPr>
        <w:t>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устройство и ремонт асфальтированных дорожек и дорожек из тротуарной плитки;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эксплуатацию многоквартирных домов, улучшить условия для отдыха и занятий спортом.</w:t>
      </w:r>
    </w:p>
    <w:p w:rsidR="00AC0B04" w:rsidRPr="00753BFE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753BFE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753BFE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753BFE">
        <w:rPr>
          <w:rFonts w:ascii="Times New Roman" w:hAnsi="Times New Roman" w:cs="Times New Roman"/>
          <w:sz w:val="28"/>
          <w:szCs w:val="28"/>
        </w:rPr>
        <w:t>1.1</w:t>
      </w:r>
      <w:r w:rsidR="00AC0B04" w:rsidRPr="00753BFE">
        <w:rPr>
          <w:rFonts w:ascii="Times New Roman" w:hAnsi="Times New Roman" w:cs="Times New Roman"/>
          <w:sz w:val="28"/>
          <w:szCs w:val="28"/>
        </w:rPr>
        <w:t>.</w:t>
      </w:r>
      <w:r w:rsidR="00A24C31" w:rsidRPr="00753BFE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753BFE">
        <w:rPr>
          <w:rFonts w:ascii="Times New Roman" w:hAnsi="Times New Roman" w:cs="Times New Roman"/>
          <w:sz w:val="28"/>
          <w:szCs w:val="28"/>
        </w:rPr>
        <w:t>22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753BFE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753BF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753BFE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753BFE">
        <w:rPr>
          <w:rFonts w:ascii="Times New Roman" w:hAnsi="Times New Roman" w:cs="Times New Roman"/>
          <w:sz w:val="28"/>
          <w:szCs w:val="28"/>
        </w:rPr>
        <w:t>п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753BFE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753BFE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753BFE">
        <w:rPr>
          <w:rFonts w:ascii="Times New Roman" w:hAnsi="Times New Roman" w:cs="Times New Roman"/>
          <w:sz w:val="28"/>
          <w:szCs w:val="28"/>
        </w:rPr>
        <w:t>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основам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упр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753BF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753BFE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753BFE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1 </w:t>
      </w:r>
      <w:r w:rsidRPr="00753BFE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753BFE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753BFE">
        <w:rPr>
          <w:rFonts w:ascii="Times New Roman" w:hAnsi="Times New Roman" w:cs="Times New Roman"/>
          <w:sz w:val="28"/>
          <w:szCs w:val="28"/>
        </w:rPr>
        <w:t>»</w:t>
      </w:r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753BFE">
        <w:rPr>
          <w:rFonts w:ascii="Times New Roman" w:hAnsi="Times New Roman" w:cs="Times New Roman"/>
          <w:sz w:val="28"/>
          <w:szCs w:val="28"/>
        </w:rPr>
        <w:t>3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753BFE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9.5</w:t>
      </w:r>
      <w:r w:rsidRPr="00753BFE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753BFE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>10.1. Паспорт подпрограммы 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753BFE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граждан в решение вопросов,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211 559,0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20 358,4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2082,3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623,7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19 978,9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1 946,7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9 437,8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1 458,6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753BFE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создание благоприятных условий для проживания и отдыха населения.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753BFE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</w:t>
      </w:r>
      <w:r w:rsidR="00773683"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граждан и пребывания отдыхающих, а также комфортное современное «общественное пространство». </w:t>
      </w:r>
    </w:p>
    <w:p w:rsidR="00773683" w:rsidRPr="00753BFE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753BFE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753BFE">
        <w:rPr>
          <w:rFonts w:ascii="Times New Roman" w:hAnsi="Times New Roman" w:cs="Times New Roman"/>
          <w:sz w:val="28"/>
          <w:szCs w:val="28"/>
        </w:rPr>
        <w:t>.1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624F94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753BFE">
        <w:rPr>
          <w:rFonts w:ascii="Times New Roman" w:hAnsi="Times New Roman" w:cs="Times New Roman"/>
          <w:sz w:val="28"/>
          <w:szCs w:val="28"/>
        </w:rPr>
        <w:t>Д</w:t>
      </w:r>
      <w:r w:rsidR="00010537" w:rsidRPr="00753BFE">
        <w:rPr>
          <w:rFonts w:ascii="Times New Roman" w:hAnsi="Times New Roman" w:cs="Times New Roman"/>
          <w:sz w:val="28"/>
          <w:szCs w:val="28"/>
        </w:rPr>
        <w:t>оля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 ожидаются</w:t>
      </w:r>
      <w:r w:rsidRPr="00753BFE">
        <w:rPr>
          <w:rFonts w:ascii="Times New Roman" w:hAnsi="Times New Roman" w:cs="Times New Roman"/>
          <w:sz w:val="28"/>
          <w:szCs w:val="28"/>
        </w:rPr>
        <w:t>: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− создание зелёных зон для отдыха горожан;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753BFE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F82FF9" w:rsidRPr="00753BFE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753BFE">
        <w:rPr>
          <w:rFonts w:ascii="Times New Roman" w:hAnsi="Times New Roman" w:cs="Times New Roman"/>
          <w:sz w:val="28"/>
          <w:szCs w:val="28"/>
        </w:rPr>
        <w:t>»</w:t>
      </w:r>
      <w:r w:rsidR="00ED291C" w:rsidRPr="00753BFE">
        <w:rPr>
          <w:rFonts w:ascii="Times New Roman" w:hAnsi="Times New Roman" w:cs="Times New Roman"/>
          <w:sz w:val="28"/>
          <w:szCs w:val="28"/>
        </w:rPr>
        <w:t>;</w:t>
      </w:r>
    </w:p>
    <w:p w:rsidR="00ED291C" w:rsidRPr="00753BFE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основное мероприятие 2.2. «Разработка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753BFE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AF2BFA">
        <w:rPr>
          <w:rFonts w:ascii="Times New Roman" w:hAnsi="Times New Roman" w:cs="Times New Roman"/>
          <w:sz w:val="28"/>
          <w:szCs w:val="28"/>
        </w:rPr>
        <w:t>211</w:t>
      </w:r>
      <w:r w:rsidR="00F05897">
        <w:rPr>
          <w:rFonts w:ascii="Times New Roman" w:hAnsi="Times New Roman" w:cs="Times New Roman"/>
          <w:sz w:val="28"/>
          <w:szCs w:val="28"/>
        </w:rPr>
        <w:t> </w:t>
      </w:r>
      <w:r w:rsidR="00AF2BFA">
        <w:rPr>
          <w:rFonts w:ascii="Times New Roman" w:hAnsi="Times New Roman" w:cs="Times New Roman"/>
          <w:sz w:val="28"/>
          <w:szCs w:val="28"/>
        </w:rPr>
        <w:t>559</w:t>
      </w:r>
      <w:r w:rsidR="00F05897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6B0894">
        <w:rPr>
          <w:rFonts w:ascii="Times New Roman" w:hAnsi="Times New Roman" w:cs="Times New Roman"/>
          <w:sz w:val="28"/>
          <w:szCs w:val="28"/>
        </w:rPr>
        <w:t>174 029,2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753BFE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1C5C21" w:rsidRPr="00753BFE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3F7F5F">
        <w:rPr>
          <w:rFonts w:ascii="Times New Roman" w:hAnsi="Times New Roman" w:cs="Times New Roman"/>
          <w:sz w:val="28"/>
          <w:szCs w:val="28"/>
        </w:rPr>
        <w:t>9 437,8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 w:rsidR="0075723B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753BFE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753BFE" w:rsidSect="00AE11B1">
          <w:footerReference w:type="default" r:id="rId8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753BFE" w:rsidTr="000C5D13">
        <w:tc>
          <w:tcPr>
            <w:tcW w:w="9747" w:type="dxa"/>
          </w:tcPr>
          <w:p w:rsidR="00C328EF" w:rsidRPr="00753BFE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753BFE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753BFE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753BFE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753BFE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proofErr w:type="gramStart"/>
      <w:r w:rsidR="00E415A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753BFE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6959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753BFE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753BFE" w:rsidTr="009C74A7">
        <w:trPr>
          <w:tblHeader/>
          <w:jc w:val="center"/>
        </w:trPr>
        <w:tc>
          <w:tcPr>
            <w:tcW w:w="57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753BFE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753BFE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</w:t>
            </w:r>
            <w:r w:rsidR="00FC6F4E" w:rsidRPr="00753BFE">
              <w:rPr>
                <w:color w:val="000000"/>
                <w:sz w:val="28"/>
              </w:rPr>
              <w:t>3</w:t>
            </w:r>
            <w:r w:rsidRPr="00753BFE">
              <w:rPr>
                <w:color w:val="000000"/>
                <w:sz w:val="28"/>
              </w:rPr>
              <w:t>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753BFE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753BFE">
              <w:rPr>
                <w:color w:val="000000"/>
                <w:sz w:val="28"/>
                <w:szCs w:val="24"/>
              </w:rPr>
              <w:t>1</w:t>
            </w:r>
            <w:r w:rsidR="005327EE" w:rsidRPr="00753BFE">
              <w:rPr>
                <w:color w:val="000000"/>
                <w:sz w:val="28"/>
                <w:szCs w:val="24"/>
              </w:rPr>
              <w:t>8</w:t>
            </w:r>
            <w:r w:rsidRPr="00753BFE">
              <w:rPr>
                <w:color w:val="000000"/>
                <w:sz w:val="28"/>
                <w:szCs w:val="24"/>
              </w:rPr>
              <w:t>,</w:t>
            </w:r>
            <w:r w:rsidR="005327EE" w:rsidRPr="00753BF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753BFE" w:rsidTr="009C74A7">
        <w:trPr>
          <w:jc w:val="center"/>
        </w:trPr>
        <w:tc>
          <w:tcPr>
            <w:tcW w:w="574" w:type="dxa"/>
          </w:tcPr>
          <w:p w:rsidR="00AB06AF" w:rsidRPr="00753BFE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753BFE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753BFE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753BFE" w:rsidTr="00E37116">
        <w:trPr>
          <w:jc w:val="center"/>
        </w:trPr>
        <w:tc>
          <w:tcPr>
            <w:tcW w:w="15818" w:type="dxa"/>
            <w:gridSpan w:val="18"/>
          </w:tcPr>
          <w:p w:rsidR="009C74A7" w:rsidRPr="00753BFE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753BFE" w:rsidTr="000C5D13">
        <w:tc>
          <w:tcPr>
            <w:tcW w:w="9747" w:type="dxa"/>
          </w:tcPr>
          <w:p w:rsidR="00E37116" w:rsidRPr="00753BFE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753BFE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753BFE" w:rsidTr="00B416A2">
        <w:trPr>
          <w:tblHeader/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753BFE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753BFE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</w:t>
            </w:r>
            <w:r w:rsidR="00E37116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753BFE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753BFE" w:rsidTr="00B416A2">
        <w:trPr>
          <w:jc w:val="center"/>
        </w:trPr>
        <w:tc>
          <w:tcPr>
            <w:tcW w:w="713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753BFE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753BFE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Кт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100%, где</w:t>
            </w:r>
          </w:p>
          <w:p w:rsidR="002953F5" w:rsidRPr="00753BFE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753BFE" w:rsidTr="00B416A2">
        <w:trPr>
          <w:jc w:val="center"/>
        </w:trPr>
        <w:tc>
          <w:tcPr>
            <w:tcW w:w="713" w:type="dxa"/>
          </w:tcPr>
          <w:p w:rsidR="006C24C4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753BFE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753BFE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753BFE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 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753BFE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753BFE" w:rsidTr="000C5D13">
        <w:tc>
          <w:tcPr>
            <w:tcW w:w="9747" w:type="dxa"/>
          </w:tcPr>
          <w:p w:rsidR="008D469A" w:rsidRPr="00753BFE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753BFE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753BFE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753BFE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753BFE" w:rsidTr="005F5B39">
        <w:trPr>
          <w:jc w:val="center"/>
        </w:trPr>
        <w:tc>
          <w:tcPr>
            <w:tcW w:w="58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753BFE" w:rsidTr="005F5B39">
        <w:trPr>
          <w:jc w:val="center"/>
        </w:trPr>
        <w:tc>
          <w:tcPr>
            <w:tcW w:w="58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753BFE" w:rsidTr="005F5B39">
        <w:trPr>
          <w:tblHeader/>
          <w:jc w:val="center"/>
        </w:trPr>
        <w:tc>
          <w:tcPr>
            <w:tcW w:w="58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753BFE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753BFE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753BFE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753BFE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753BFE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753BFE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753BFE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753BFE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753BFE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753BFE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753BFE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753BFE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753BFE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753BFE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753BFE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753BFE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753BFE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753BFE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753BFE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Разработка </w:t>
            </w:r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51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753BFE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753BFE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753BFE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753BFE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753BFE" w:rsidTr="000C5D13">
        <w:tc>
          <w:tcPr>
            <w:tcW w:w="9747" w:type="dxa"/>
          </w:tcPr>
          <w:p w:rsidR="00E6265E" w:rsidRPr="00753BFE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753BFE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753BFE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753BFE">
        <w:rPr>
          <w:rFonts w:ascii="Times New Roman" w:hAnsi="Times New Roman" w:cs="Times New Roman"/>
          <w:sz w:val="28"/>
          <w:szCs w:val="28"/>
        </w:rPr>
        <w:t>на реализацию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2235"/>
        <w:gridCol w:w="1909"/>
        <w:gridCol w:w="692"/>
        <w:gridCol w:w="1116"/>
        <w:gridCol w:w="611"/>
        <w:gridCol w:w="547"/>
        <w:gridCol w:w="1810"/>
        <w:gridCol w:w="927"/>
        <w:gridCol w:w="1316"/>
        <w:gridCol w:w="1216"/>
        <w:gridCol w:w="916"/>
        <w:gridCol w:w="916"/>
      </w:tblGrid>
      <w:tr w:rsidR="003E1C0D" w:rsidRPr="00753BFE" w:rsidTr="00585FF9">
        <w:trPr>
          <w:trHeight w:val="2790"/>
        </w:trPr>
        <w:tc>
          <w:tcPr>
            <w:tcW w:w="1742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66" w:type="dxa"/>
            <w:gridSpan w:val="4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01" w:type="dxa"/>
            <w:gridSpan w:val="6"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36238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36238" w:rsidRPr="00753BFE" w:rsidRDefault="00536238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  <w:hideMark/>
          </w:tcPr>
          <w:p w:rsidR="00536238" w:rsidRPr="00BE1E4F" w:rsidRDefault="001D04F0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536238" w:rsidRPr="00753BFE" w:rsidRDefault="009E3C61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585FF9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536238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36238" w:rsidRPr="00753BFE" w:rsidRDefault="00536238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536238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536238" w:rsidRPr="00753BFE" w:rsidRDefault="00536238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9E3C61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1D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668,3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9E3C61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1458,6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585FF9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руководителей и специалистов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9E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9E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1458.6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1458.6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16 680,5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20 015,0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5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48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126 380,2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123 451,5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1 946,7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по объекту: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F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"Благоустройство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общественой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территории"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областной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экспертного исследования по определению стоимости работ с составлением сметной документации по устранению недостатков (дефектов) в рамках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/к № Ф2018.282486 от 25.06.2018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2.1.10.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100 метров по направлению на запад от строения,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расположеного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по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контроля за работами на объекте "Благоустройство общественной территории, расположенной по адресу: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емикаракорск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на объекте "Благоустройство общественной территории, расположенной по адресу:100 метров по направлению на запад от строения, расположенного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D473B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D473B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2.1.18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63C3E" w:rsidRPr="00753BFE" w:rsidRDefault="003D2BB9" w:rsidP="003D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6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опросников и выполнение дизайн-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проект благоустройства с технико-экономическими показателями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генерального плана и сметного расчета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концепции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«Центральный парк г. Семикаракорск» по адресу: Ростовская область, Семикаракорский район,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концепции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«Место для купания «Подвесной мост»» по адресу: Ростовская область, Семикаракорский район,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629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общественного пространства по адресу:  Ростовская область, Семикаракорский район, 100 метров по направлению на запад от строения, расположенного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Семикаракорск,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42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дизайн-концепции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бренда общественной территории пляжа "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концепции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Pr="00753BFE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D30188" w:rsidRPr="00753BFE" w:rsidTr="000C5D13">
        <w:tc>
          <w:tcPr>
            <w:tcW w:w="9747" w:type="dxa"/>
          </w:tcPr>
          <w:p w:rsidR="00D30188" w:rsidRPr="00753BFE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4" w:type="dxa"/>
        <w:tblInd w:w="93" w:type="dxa"/>
        <w:tblLook w:val="04A0"/>
      </w:tblPr>
      <w:tblGrid>
        <w:gridCol w:w="2567"/>
        <w:gridCol w:w="2780"/>
        <w:gridCol w:w="2000"/>
        <w:gridCol w:w="1457"/>
        <w:gridCol w:w="1340"/>
        <w:gridCol w:w="1340"/>
        <w:gridCol w:w="1340"/>
        <w:gridCol w:w="1340"/>
        <w:gridCol w:w="1340"/>
      </w:tblGrid>
      <w:tr w:rsidR="000427DE" w:rsidRPr="00753BFE" w:rsidTr="00E41EB4">
        <w:trPr>
          <w:trHeight w:val="5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753BFE" w:rsidTr="00E41EB4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753BFE" w:rsidTr="00E41EB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6E3305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="008B145C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9A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9A0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057,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D57A7B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8B145C" w:rsidRPr="00753BFE" w:rsidTr="008B145C">
        <w:trPr>
          <w:trHeight w:val="39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D57A7B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D57A7B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147 057,</w:t>
            </w:r>
            <w:r w:rsidR="00C36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36917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8B145C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753BFE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6B5B77" w:rsidRPr="00753BFE" w:rsidTr="000C5D13">
        <w:tc>
          <w:tcPr>
            <w:tcW w:w="9747" w:type="dxa"/>
          </w:tcPr>
          <w:p w:rsidR="006B5B77" w:rsidRPr="00753BFE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 w:rsidRPr="00753BF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Pr="00753BFE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700"/>
        <w:gridCol w:w="2615"/>
        <w:gridCol w:w="1999"/>
        <w:gridCol w:w="2019"/>
        <w:gridCol w:w="2116"/>
        <w:gridCol w:w="1177"/>
        <w:gridCol w:w="1206"/>
        <w:gridCol w:w="1176"/>
        <w:gridCol w:w="1176"/>
        <w:gridCol w:w="1176"/>
      </w:tblGrid>
      <w:tr w:rsidR="00432FFF" w:rsidRPr="00753BFE" w:rsidTr="007558D7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Араканцева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</w:t>
            </w:r>
            <w:r w:rsidR="008B14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949,4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19 557,8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123 884,7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16 908,4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146 9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94 557,8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48 884,7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2598C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C90A61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20 015,0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19 55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C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0A61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126 380,2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123 451,5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2.1.6.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по объекту: "Благоустройство общественного пространства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FE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2.1.7.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RPr="00753BFE" w:rsidSect="0099623E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B93143" w:rsidRPr="00753BFE" w:rsidTr="00B93143">
        <w:tc>
          <w:tcPr>
            <w:tcW w:w="4361" w:type="dxa"/>
          </w:tcPr>
          <w:p w:rsidR="00B93143" w:rsidRPr="00753BFE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B93143" w:rsidRPr="00753BFE" w:rsidTr="00B93143">
        <w:tc>
          <w:tcPr>
            <w:tcW w:w="817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16Б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16Г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DB7CA0" w:rsidRPr="00753BFE" w:rsidTr="0011773F">
        <w:tc>
          <w:tcPr>
            <w:tcW w:w="4361" w:type="dxa"/>
          </w:tcPr>
          <w:p w:rsidR="00DB7CA0" w:rsidRPr="00753BFE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DB7CA0" w:rsidRPr="00753BFE" w:rsidTr="00313C3D">
        <w:tc>
          <w:tcPr>
            <w:tcW w:w="817" w:type="dxa"/>
          </w:tcPr>
          <w:p w:rsidR="00DB7CA0" w:rsidRPr="00753BFE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B7CA0" w:rsidRPr="00753BFE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Pr="00753BFE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до пр. </w:t>
            </w:r>
            <w:proofErr w:type="gramStart"/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  <w:proofErr w:type="gramEnd"/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20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21690" w:rsidRPr="00753BFE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DB7CA0" w:rsidRPr="00753BFE">
        <w:rPr>
          <w:rFonts w:ascii="Times New Roman" w:hAnsi="Times New Roman" w:cs="Times New Roman"/>
          <w:sz w:val="28"/>
          <w:szCs w:val="28"/>
        </w:rPr>
        <w:t>»</w:t>
      </w:r>
    </w:p>
    <w:sectPr w:rsidR="00C75020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A7" w:rsidRDefault="006467A7" w:rsidP="00037167">
      <w:pPr>
        <w:spacing w:after="0" w:line="240" w:lineRule="auto"/>
      </w:pPr>
      <w:r>
        <w:separator/>
      </w:r>
    </w:p>
  </w:endnote>
  <w:endnote w:type="continuationSeparator" w:id="1">
    <w:p w:rsidR="006467A7" w:rsidRDefault="006467A7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063"/>
    </w:sdtPr>
    <w:sdtContent>
      <w:p w:rsidR="006467A7" w:rsidRDefault="00297DC2">
        <w:pPr>
          <w:pStyle w:val="af4"/>
          <w:jc w:val="right"/>
        </w:pPr>
        <w:fldSimple w:instr=" PAGE   \* MERGEFORMAT ">
          <w:r w:rsidR="000E247A">
            <w:rPr>
              <w:noProof/>
            </w:rPr>
            <w:t>1</w:t>
          </w:r>
        </w:fldSimple>
      </w:p>
    </w:sdtContent>
  </w:sdt>
  <w:p w:rsidR="006467A7" w:rsidRDefault="006467A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A7" w:rsidRDefault="006467A7" w:rsidP="00037167">
      <w:pPr>
        <w:spacing w:after="0" w:line="240" w:lineRule="auto"/>
      </w:pPr>
      <w:r>
        <w:separator/>
      </w:r>
    </w:p>
  </w:footnote>
  <w:footnote w:type="continuationSeparator" w:id="1">
    <w:p w:rsidR="006467A7" w:rsidRDefault="006467A7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59E"/>
    <w:rsid w:val="000025B9"/>
    <w:rsid w:val="00003744"/>
    <w:rsid w:val="00010537"/>
    <w:rsid w:val="00027DBA"/>
    <w:rsid w:val="00037167"/>
    <w:rsid w:val="000427DE"/>
    <w:rsid w:val="0005094F"/>
    <w:rsid w:val="0005096B"/>
    <w:rsid w:val="00054B68"/>
    <w:rsid w:val="00056AEC"/>
    <w:rsid w:val="000612F4"/>
    <w:rsid w:val="00065024"/>
    <w:rsid w:val="00065FF5"/>
    <w:rsid w:val="00073B60"/>
    <w:rsid w:val="00074EA6"/>
    <w:rsid w:val="000805C3"/>
    <w:rsid w:val="000839C2"/>
    <w:rsid w:val="000845C8"/>
    <w:rsid w:val="00084AAE"/>
    <w:rsid w:val="00093E91"/>
    <w:rsid w:val="000A0137"/>
    <w:rsid w:val="000A15D1"/>
    <w:rsid w:val="000B07B7"/>
    <w:rsid w:val="000B1E6A"/>
    <w:rsid w:val="000C5D13"/>
    <w:rsid w:val="000D1FB9"/>
    <w:rsid w:val="000D38C2"/>
    <w:rsid w:val="000D529C"/>
    <w:rsid w:val="000D5B9E"/>
    <w:rsid w:val="000E219A"/>
    <w:rsid w:val="000E247A"/>
    <w:rsid w:val="000E3B53"/>
    <w:rsid w:val="000E511D"/>
    <w:rsid w:val="000F1F69"/>
    <w:rsid w:val="000F75E2"/>
    <w:rsid w:val="00113BFC"/>
    <w:rsid w:val="0011773F"/>
    <w:rsid w:val="001234F7"/>
    <w:rsid w:val="001359A7"/>
    <w:rsid w:val="00137410"/>
    <w:rsid w:val="00137D1A"/>
    <w:rsid w:val="0014463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18BB"/>
    <w:rsid w:val="001C4C48"/>
    <w:rsid w:val="001C5C21"/>
    <w:rsid w:val="001C5F5E"/>
    <w:rsid w:val="001C7865"/>
    <w:rsid w:val="001D04F0"/>
    <w:rsid w:val="001D6F4C"/>
    <w:rsid w:val="001E3AE4"/>
    <w:rsid w:val="001E3E6C"/>
    <w:rsid w:val="001E54D9"/>
    <w:rsid w:val="001E576E"/>
    <w:rsid w:val="001E6C17"/>
    <w:rsid w:val="001F2B80"/>
    <w:rsid w:val="001F2C44"/>
    <w:rsid w:val="001F767E"/>
    <w:rsid w:val="002131A1"/>
    <w:rsid w:val="002203DF"/>
    <w:rsid w:val="002273D7"/>
    <w:rsid w:val="00236C3F"/>
    <w:rsid w:val="00250BA2"/>
    <w:rsid w:val="002549D7"/>
    <w:rsid w:val="00260943"/>
    <w:rsid w:val="002649E2"/>
    <w:rsid w:val="00267116"/>
    <w:rsid w:val="00270319"/>
    <w:rsid w:val="002715FB"/>
    <w:rsid w:val="0027413D"/>
    <w:rsid w:val="00274218"/>
    <w:rsid w:val="002906EA"/>
    <w:rsid w:val="00290F06"/>
    <w:rsid w:val="002953F5"/>
    <w:rsid w:val="00297DC2"/>
    <w:rsid w:val="002A0B7B"/>
    <w:rsid w:val="002F1CEE"/>
    <w:rsid w:val="002F6487"/>
    <w:rsid w:val="00300D1E"/>
    <w:rsid w:val="00302BCC"/>
    <w:rsid w:val="00304800"/>
    <w:rsid w:val="003061EB"/>
    <w:rsid w:val="00310388"/>
    <w:rsid w:val="00313C3D"/>
    <w:rsid w:val="00313DAB"/>
    <w:rsid w:val="00317225"/>
    <w:rsid w:val="00320291"/>
    <w:rsid w:val="00320381"/>
    <w:rsid w:val="00327218"/>
    <w:rsid w:val="00331033"/>
    <w:rsid w:val="00335DBE"/>
    <w:rsid w:val="00340DDF"/>
    <w:rsid w:val="003460D2"/>
    <w:rsid w:val="00353DF0"/>
    <w:rsid w:val="003573D2"/>
    <w:rsid w:val="003642D6"/>
    <w:rsid w:val="00365DF0"/>
    <w:rsid w:val="0037081C"/>
    <w:rsid w:val="00372AFE"/>
    <w:rsid w:val="0037300A"/>
    <w:rsid w:val="00381867"/>
    <w:rsid w:val="00387799"/>
    <w:rsid w:val="00393A51"/>
    <w:rsid w:val="003A2B67"/>
    <w:rsid w:val="003B6479"/>
    <w:rsid w:val="003D2BB9"/>
    <w:rsid w:val="003E1C0D"/>
    <w:rsid w:val="003E7B0E"/>
    <w:rsid w:val="003F11C4"/>
    <w:rsid w:val="003F4607"/>
    <w:rsid w:val="003F7F5F"/>
    <w:rsid w:val="00400055"/>
    <w:rsid w:val="004138A2"/>
    <w:rsid w:val="00413E65"/>
    <w:rsid w:val="00421161"/>
    <w:rsid w:val="00431338"/>
    <w:rsid w:val="00432FFF"/>
    <w:rsid w:val="00436F2C"/>
    <w:rsid w:val="00436F91"/>
    <w:rsid w:val="004508F5"/>
    <w:rsid w:val="00455458"/>
    <w:rsid w:val="00465817"/>
    <w:rsid w:val="00471CAD"/>
    <w:rsid w:val="00474F32"/>
    <w:rsid w:val="00476492"/>
    <w:rsid w:val="00476960"/>
    <w:rsid w:val="0048466F"/>
    <w:rsid w:val="0048637A"/>
    <w:rsid w:val="00491BB8"/>
    <w:rsid w:val="004A7ACA"/>
    <w:rsid w:val="004B4650"/>
    <w:rsid w:val="004C509F"/>
    <w:rsid w:val="004C790E"/>
    <w:rsid w:val="004E12C8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B9D"/>
    <w:rsid w:val="00514DC4"/>
    <w:rsid w:val="005170AC"/>
    <w:rsid w:val="00530F1D"/>
    <w:rsid w:val="00531233"/>
    <w:rsid w:val="005327EE"/>
    <w:rsid w:val="00536238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43D3"/>
    <w:rsid w:val="00585FF9"/>
    <w:rsid w:val="00594FB8"/>
    <w:rsid w:val="005A5055"/>
    <w:rsid w:val="005B5234"/>
    <w:rsid w:val="005B58BB"/>
    <w:rsid w:val="005C0518"/>
    <w:rsid w:val="005D7251"/>
    <w:rsid w:val="005D750D"/>
    <w:rsid w:val="005E5A00"/>
    <w:rsid w:val="005F0530"/>
    <w:rsid w:val="005F5B39"/>
    <w:rsid w:val="005F6355"/>
    <w:rsid w:val="005F72CE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67A7"/>
    <w:rsid w:val="0064742F"/>
    <w:rsid w:val="00655B1B"/>
    <w:rsid w:val="00662798"/>
    <w:rsid w:val="006678C7"/>
    <w:rsid w:val="00672109"/>
    <w:rsid w:val="00675B80"/>
    <w:rsid w:val="00683A23"/>
    <w:rsid w:val="006842EB"/>
    <w:rsid w:val="00686FCA"/>
    <w:rsid w:val="006A40D4"/>
    <w:rsid w:val="006A65BA"/>
    <w:rsid w:val="006B0894"/>
    <w:rsid w:val="006B5B77"/>
    <w:rsid w:val="006C1B1B"/>
    <w:rsid w:val="006C24C4"/>
    <w:rsid w:val="006D1C51"/>
    <w:rsid w:val="006D218A"/>
    <w:rsid w:val="006D7568"/>
    <w:rsid w:val="006E1411"/>
    <w:rsid w:val="006E3305"/>
    <w:rsid w:val="006F0DA2"/>
    <w:rsid w:val="006F1ACD"/>
    <w:rsid w:val="006F1F12"/>
    <w:rsid w:val="006F382B"/>
    <w:rsid w:val="006F5A9C"/>
    <w:rsid w:val="0070436B"/>
    <w:rsid w:val="00705A41"/>
    <w:rsid w:val="0070652E"/>
    <w:rsid w:val="00721690"/>
    <w:rsid w:val="00722682"/>
    <w:rsid w:val="0072274B"/>
    <w:rsid w:val="00724AEB"/>
    <w:rsid w:val="00726C04"/>
    <w:rsid w:val="007308D8"/>
    <w:rsid w:val="0073618B"/>
    <w:rsid w:val="007413CE"/>
    <w:rsid w:val="00741BD8"/>
    <w:rsid w:val="0074429F"/>
    <w:rsid w:val="007508A6"/>
    <w:rsid w:val="0075138C"/>
    <w:rsid w:val="00753BFE"/>
    <w:rsid w:val="0075519A"/>
    <w:rsid w:val="007558D7"/>
    <w:rsid w:val="0075723B"/>
    <w:rsid w:val="00773683"/>
    <w:rsid w:val="0077643A"/>
    <w:rsid w:val="00786940"/>
    <w:rsid w:val="00790C3D"/>
    <w:rsid w:val="00795AF2"/>
    <w:rsid w:val="007971B0"/>
    <w:rsid w:val="007A22BF"/>
    <w:rsid w:val="007A72BC"/>
    <w:rsid w:val="007B3BB4"/>
    <w:rsid w:val="007B656D"/>
    <w:rsid w:val="007C0119"/>
    <w:rsid w:val="007C124C"/>
    <w:rsid w:val="007C5A29"/>
    <w:rsid w:val="007C5E5A"/>
    <w:rsid w:val="007D630C"/>
    <w:rsid w:val="007D70D2"/>
    <w:rsid w:val="007E0259"/>
    <w:rsid w:val="007E0C01"/>
    <w:rsid w:val="007F006E"/>
    <w:rsid w:val="007F55C2"/>
    <w:rsid w:val="00801F11"/>
    <w:rsid w:val="00812FE5"/>
    <w:rsid w:val="0082497E"/>
    <w:rsid w:val="00825E43"/>
    <w:rsid w:val="00827FE4"/>
    <w:rsid w:val="0083290E"/>
    <w:rsid w:val="00844A24"/>
    <w:rsid w:val="00845A76"/>
    <w:rsid w:val="00854480"/>
    <w:rsid w:val="0085765B"/>
    <w:rsid w:val="00863C3E"/>
    <w:rsid w:val="008647A2"/>
    <w:rsid w:val="0087246B"/>
    <w:rsid w:val="008728F8"/>
    <w:rsid w:val="0087699D"/>
    <w:rsid w:val="00883981"/>
    <w:rsid w:val="008A311E"/>
    <w:rsid w:val="008B145C"/>
    <w:rsid w:val="008B2311"/>
    <w:rsid w:val="008B5AE7"/>
    <w:rsid w:val="008C2260"/>
    <w:rsid w:val="008C73C9"/>
    <w:rsid w:val="008D3F40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3289"/>
    <w:rsid w:val="0092514E"/>
    <w:rsid w:val="00926F67"/>
    <w:rsid w:val="00930A49"/>
    <w:rsid w:val="00953AFD"/>
    <w:rsid w:val="00956AFE"/>
    <w:rsid w:val="00963C4C"/>
    <w:rsid w:val="00963ECE"/>
    <w:rsid w:val="00970538"/>
    <w:rsid w:val="00970D35"/>
    <w:rsid w:val="00973DD7"/>
    <w:rsid w:val="00985673"/>
    <w:rsid w:val="0099623E"/>
    <w:rsid w:val="009A0B1A"/>
    <w:rsid w:val="009A1D29"/>
    <w:rsid w:val="009A73E4"/>
    <w:rsid w:val="009B2193"/>
    <w:rsid w:val="009C1A17"/>
    <w:rsid w:val="009C3AFB"/>
    <w:rsid w:val="009C74A7"/>
    <w:rsid w:val="009D13D5"/>
    <w:rsid w:val="009D76FD"/>
    <w:rsid w:val="009E3C61"/>
    <w:rsid w:val="009F452F"/>
    <w:rsid w:val="009F68E4"/>
    <w:rsid w:val="00A03239"/>
    <w:rsid w:val="00A24C31"/>
    <w:rsid w:val="00A33325"/>
    <w:rsid w:val="00A35690"/>
    <w:rsid w:val="00A37FCF"/>
    <w:rsid w:val="00A459F7"/>
    <w:rsid w:val="00A63E3E"/>
    <w:rsid w:val="00A65AFE"/>
    <w:rsid w:val="00A72AF3"/>
    <w:rsid w:val="00A904A7"/>
    <w:rsid w:val="00AA52F3"/>
    <w:rsid w:val="00AB06AF"/>
    <w:rsid w:val="00AB249F"/>
    <w:rsid w:val="00AB43FC"/>
    <w:rsid w:val="00AC0B04"/>
    <w:rsid w:val="00AC5089"/>
    <w:rsid w:val="00AD688B"/>
    <w:rsid w:val="00AE11B1"/>
    <w:rsid w:val="00AE4656"/>
    <w:rsid w:val="00AF2BFA"/>
    <w:rsid w:val="00B033D8"/>
    <w:rsid w:val="00B05A41"/>
    <w:rsid w:val="00B132AC"/>
    <w:rsid w:val="00B149ED"/>
    <w:rsid w:val="00B22C03"/>
    <w:rsid w:val="00B250E4"/>
    <w:rsid w:val="00B27D2A"/>
    <w:rsid w:val="00B30CF8"/>
    <w:rsid w:val="00B33ED0"/>
    <w:rsid w:val="00B416A2"/>
    <w:rsid w:val="00B43ED7"/>
    <w:rsid w:val="00B47FA1"/>
    <w:rsid w:val="00B56A13"/>
    <w:rsid w:val="00B65ED2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D75E3"/>
    <w:rsid w:val="00BE1A9F"/>
    <w:rsid w:val="00BE1E4F"/>
    <w:rsid w:val="00BE4F9D"/>
    <w:rsid w:val="00BE6B3F"/>
    <w:rsid w:val="00C035C2"/>
    <w:rsid w:val="00C04A7D"/>
    <w:rsid w:val="00C06982"/>
    <w:rsid w:val="00C0744F"/>
    <w:rsid w:val="00C10A80"/>
    <w:rsid w:val="00C2084A"/>
    <w:rsid w:val="00C20CFF"/>
    <w:rsid w:val="00C27496"/>
    <w:rsid w:val="00C328EF"/>
    <w:rsid w:val="00C33A89"/>
    <w:rsid w:val="00C3585A"/>
    <w:rsid w:val="00C36917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90A61"/>
    <w:rsid w:val="00CA60B8"/>
    <w:rsid w:val="00CA78FA"/>
    <w:rsid w:val="00CB1DD6"/>
    <w:rsid w:val="00CB211D"/>
    <w:rsid w:val="00CB38C7"/>
    <w:rsid w:val="00CC76D1"/>
    <w:rsid w:val="00CF0C17"/>
    <w:rsid w:val="00D01DA5"/>
    <w:rsid w:val="00D13765"/>
    <w:rsid w:val="00D1659E"/>
    <w:rsid w:val="00D30188"/>
    <w:rsid w:val="00D33BFB"/>
    <w:rsid w:val="00D34F59"/>
    <w:rsid w:val="00D43326"/>
    <w:rsid w:val="00D473BB"/>
    <w:rsid w:val="00D57A7B"/>
    <w:rsid w:val="00D6092E"/>
    <w:rsid w:val="00D613C7"/>
    <w:rsid w:val="00D705A7"/>
    <w:rsid w:val="00D7648E"/>
    <w:rsid w:val="00D81537"/>
    <w:rsid w:val="00DA1AC5"/>
    <w:rsid w:val="00DB7CA0"/>
    <w:rsid w:val="00DC4992"/>
    <w:rsid w:val="00DD2E78"/>
    <w:rsid w:val="00DD5871"/>
    <w:rsid w:val="00DE21F1"/>
    <w:rsid w:val="00DE2D46"/>
    <w:rsid w:val="00DE4C46"/>
    <w:rsid w:val="00DF0CCD"/>
    <w:rsid w:val="00E00AA1"/>
    <w:rsid w:val="00E01365"/>
    <w:rsid w:val="00E042AF"/>
    <w:rsid w:val="00E20275"/>
    <w:rsid w:val="00E37116"/>
    <w:rsid w:val="00E40A91"/>
    <w:rsid w:val="00E415A5"/>
    <w:rsid w:val="00E41EB4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3ABA"/>
    <w:rsid w:val="00E86D26"/>
    <w:rsid w:val="00E87410"/>
    <w:rsid w:val="00E91B53"/>
    <w:rsid w:val="00E96ABC"/>
    <w:rsid w:val="00EA1778"/>
    <w:rsid w:val="00EB63A2"/>
    <w:rsid w:val="00EC1257"/>
    <w:rsid w:val="00EC31D5"/>
    <w:rsid w:val="00EC71B2"/>
    <w:rsid w:val="00ED291C"/>
    <w:rsid w:val="00EE13F2"/>
    <w:rsid w:val="00EF2E8C"/>
    <w:rsid w:val="00EF6D01"/>
    <w:rsid w:val="00F02156"/>
    <w:rsid w:val="00F05897"/>
    <w:rsid w:val="00F06DC9"/>
    <w:rsid w:val="00F07333"/>
    <w:rsid w:val="00F11C82"/>
    <w:rsid w:val="00F22992"/>
    <w:rsid w:val="00F24127"/>
    <w:rsid w:val="00F2598C"/>
    <w:rsid w:val="00F33375"/>
    <w:rsid w:val="00F37877"/>
    <w:rsid w:val="00F4166A"/>
    <w:rsid w:val="00F51C0E"/>
    <w:rsid w:val="00F5202B"/>
    <w:rsid w:val="00F53C00"/>
    <w:rsid w:val="00F82FF9"/>
    <w:rsid w:val="00F83475"/>
    <w:rsid w:val="00F90D84"/>
    <w:rsid w:val="00F93255"/>
    <w:rsid w:val="00F93AF5"/>
    <w:rsid w:val="00FA1156"/>
    <w:rsid w:val="00FA1F62"/>
    <w:rsid w:val="00FA36B0"/>
    <w:rsid w:val="00FA65EB"/>
    <w:rsid w:val="00FC6258"/>
    <w:rsid w:val="00FC6F4E"/>
    <w:rsid w:val="00FE067F"/>
    <w:rsid w:val="00FE4704"/>
    <w:rsid w:val="00FE52D6"/>
    <w:rsid w:val="00FF4B28"/>
    <w:rsid w:val="00FF6895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8A8E-44AB-4E5C-B2EC-1E91B70D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66</Pages>
  <Words>16412</Words>
  <Characters>93550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2020-07-11T22:25:00Z</cp:lastPrinted>
  <dcterms:created xsi:type="dcterms:W3CDTF">2020-04-25T08:54:00Z</dcterms:created>
  <dcterms:modified xsi:type="dcterms:W3CDTF">2020-07-11T22:31:00Z</dcterms:modified>
</cp:coreProperties>
</file>